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ce5144bce418b"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ENGR</w:t>
        </w:r>
      </w:r>
      <w:r>
        <w:rPr>
          <w:b/>
        </w:rPr>
        <w:t xml:space="preserve"> </w:t>
        <w:r>
          <w:rPr/>
          <w:t xml:space="preserve">S2939.E</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June 1, 2024, the Washington courts' board for judicial administration must develop model standards:</w:t>
      </w:r>
    </w:p>
    <w:p>
      <w:pPr>
        <w:spacing w:before="0" w:after="0" w:line="408" w:lineRule="exact"/>
        <w:ind w:left="0" w:right="0" w:firstLine="576"/>
        <w:jc w:val="left"/>
      </w:pPr>
      <w:r>
        <w:rPr/>
        <w:t xml:space="preserve">(a) Establishing best practices for the operation of electronic monitoring with victim notification technology by monitoring agencies, with the goal of improving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standards required under this section, the Washington courts' board for judicial administration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The Washington courts' board for judicial administration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authority of tribes to exercise tribal court civil jurisdiction in domestic violence matters; that tribal courts and tribal programs serve residents of this state; that consistent with tribal sovereignty and the centennial accord, the state of Washington does not have the authority to direct tribal court practices or direct that counsel be appointed in tribal court civil protection proceedings; and that provisions of chapter 7.105 RCW do not apply in tribal courts. Where consistent with tribal justice system rules and practices, and upon agreement with individual tribal courts or justice systems, the state should support the provision of indigenous-informed, culturally appropriate legal support for indigenous survivors of domestic violence in tribal court domestic violence protection proceedings. To this end, and subject to appropriations for this purpose, the office of civil legal aid shall coordinate with the Indian policy advisory committee at the department of social and health services and representatives of tribal justice systems to develop a plan and implementation schedule to provide indigenous-informed, culturally appropriate legal support for survivors in tribal court domestic violence protection proceedings. The office of civil legal aid shall submit the plan along with fiscal projections for its implementation to the appropriate legislative committees by December 1, 2024.</w:t>
      </w:r>
    </w:p>
    <w:p>
      <w:pPr>
        <w:spacing w:before="240" w:after="0" w:line="408" w:lineRule="exact"/>
        <w:ind w:left="0" w:right="0" w:firstLine="576"/>
        <w:jc w:val="center"/>
      </w:pPr>
      <w:r>
        <w:rPr>
          <w:b/>
        </w:rPr>
        <w:t xml:space="preserve">Part III.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w:t>
      </w:r>
      <w:r>
        <w:rPr>
          <w:u w:val="single"/>
        </w:rPr>
        <w:t xml:space="preserve">trauma-informed</w:t>
      </w:r>
      <w:r>
        <w:rPr/>
        <w:t xml:space="preserve"> investigation and interviewing skills, evidence gathering and report writing, assistance to and services for victims and children, </w:t>
      </w:r>
      <w:r>
        <w:rPr>
          <w:u w:val="single"/>
        </w:rPr>
        <w:t xml:space="preserve">domestic violence homicide prevention, the intersection of firearms and domestic violence, best practices for serving and enforcing protection orders, best practices for implementation and enforcement of orders to surrender and prohibit weapons and extreme risk protection orders, the impacts that trauma may have on domestic violence victims,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the intersection of firearms and domestic violence, best practices for serving and enforcing protection orders, and assistance to and services for victims and children.</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provide notice to the family or household member or intimate partner who has requested notification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subsection (1)(e) of this section</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shall also consider any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the type of protection order, no 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48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person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u w:val="single"/>
        </w:rPr>
        <w:t xml:space="preserve">(3)</w:t>
      </w:r>
      <w:r>
        <w:rPr/>
        <w:t xml:space="preserve">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w:t>
      </w:r>
      <w:r>
        <w:t>((</w:t>
      </w:r>
      <w:r>
        <w:rPr>
          <w:strike/>
        </w:rPr>
        <w:t xml:space="preserve">(3)</w:t>
      </w:r>
      <w:r>
        <w:t>))</w:t>
      </w:r>
      <w:r>
        <w:rPr/>
        <w:t xml:space="preserve"> </w:t>
      </w:r>
      <w:r>
        <w:rPr>
          <w:u w:val="single"/>
        </w:rPr>
        <w:t xml:space="preserve">(4)</w:t>
      </w:r>
      <w:r>
        <w:rPr/>
        <w:t xml:space="preserve">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election official</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criminal justice participant</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 criminal justice participant</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r>
        <w:rPr/>
        <w:t xml:space="preserve">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party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240" w:after="0" w:line="408" w:lineRule="exact"/>
        <w:ind w:left="0" w:right="0" w:firstLine="576"/>
        <w:jc w:val="center"/>
      </w:pPr>
      <w:r>
        <w:rPr>
          <w:b/>
        </w:rPr>
        <w:t xml:space="preserve">Part VIII.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work with the Washington association of sheriffs and police chiefs to develop and maintain an interface to the statewide automated victim information and notification system created under RCW 36.28A.040 and the statewide automated protected person notification system created under RCW 36.28A.410 to provide notifications per RCW 36.28A.040, 36.28A.410, and 7.105.105, and chapter 9.41 RCW. The interface shall provide updated information not less than once per hour, 24 hours per day, seven days per week, without exception.</w:t>
      </w:r>
    </w:p>
    <w:p>
      <w:pPr>
        <w:spacing w:before="240" w:after="0" w:line="408" w:lineRule="exact"/>
        <w:ind w:left="0" w:right="0" w:firstLine="576"/>
        <w:jc w:val="center"/>
      </w:pPr>
      <w:r>
        <w:rPr>
          <w:b/>
        </w:rPr>
        <w:t xml:space="preserve">Part IX.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On page 1, line 3 of the title, after "partners;" strike the remainder of the title and insert "amending RCW 7.105.155, 7.105.255, 10.99.033, 10.99.040, 9.41.340, 9.41.345, 9.41.801, 9.41.804, 7.105.340, 10.21.050, 40.24.030, 42.17A.710, 9.41.800, 10.31.100, and 36.28A.410; adding new sections to chapter 2.56 RCW; adding a new section to chapter 2.53 RCW; adding a new section to chapter 7.105 RCW; adding a new section to chapter 43.330 RCW; adding a new section to chapter 43.101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7711eceb34931" /></Relationships>
</file>