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50006ceae043b1" /></Relationships>
</file>

<file path=word/document.xml><?xml version="1.0" encoding="utf-8"?>
<w:document xmlns:w="http://schemas.openxmlformats.org/wordprocessingml/2006/main">
  <w:body>
    <w:p>
      <w:r>
        <w:rPr>
          <w:b/>
        </w:rPr>
        <w:r>
          <w:rPr/>
          <w:t xml:space="preserve">1715-S2.E</w:t>
        </w:r>
      </w:r>
      <w:r>
        <w:rPr>
          <w:b/>
        </w:rPr>
        <w:t xml:space="preserve"> </w:t>
        <w:t xml:space="preserve">AMS</w:t>
      </w:r>
      <w:r>
        <w:rPr>
          <w:b/>
        </w:rPr>
        <w:t xml:space="preserve"> </w:t>
        <w:r>
          <w:rPr/>
          <w:t xml:space="preserve">ENGR</w:t>
        </w:r>
      </w:r>
      <w:r>
        <w:rPr>
          <w:b/>
        </w:rPr>
        <w:t xml:space="preserve"> </w:t>
        <w:r>
          <w:rPr/>
          <w:t xml:space="preserve">S3377.E</w:t>
        </w:r>
      </w:r>
      <w:r>
        <w:rPr>
          <w:b/>
        </w:rPr>
        <w:t xml:space="preserve"> - NOT FOR FLOOR USE</w:t>
      </w:r>
    </w:p>
    <w:p>
      <w:pPr>
        <w:ind w:left="0" w:right="0" w:firstLine="576"/>
      </w:pPr>
    </w:p>
    <w:p>
      <w:pPr>
        <w:spacing w:before="480" w:after="0" w:line="408" w:lineRule="exact"/>
      </w:pPr>
      <w:r>
        <w:rPr>
          <w:b/>
          <w:u w:val="single"/>
        </w:rPr>
        <w:t xml:space="preserve">E2SHB 1715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AND ENGROSSED 04/22/2023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by June 1, 2024, the Washington courts' board for judicial administration must develop model standards:</w:t>
      </w:r>
    </w:p>
    <w:p>
      <w:pPr>
        <w:spacing w:before="0" w:after="0" w:line="408" w:lineRule="exact"/>
        <w:ind w:left="0" w:right="0" w:firstLine="576"/>
        <w:jc w:val="left"/>
      </w:pPr>
      <w:r>
        <w:rPr/>
        <w:t xml:space="preserve">(a) Establishing best practices for the operation of electronic monitoring with victim notification technology by monitoring agencies, with the goal of improving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standards required under this section, the Washington courts' board for judicial administration must solicit input from courts of general and limited jurisdiction, local governments, monitoring agencies, and statewide associations representing law enforcement leaders, prosecutors, the department of corrections, domestic violence victims, and domestic violence agencies.</w:t>
      </w:r>
    </w:p>
    <w:p>
      <w:pPr>
        <w:spacing w:before="0" w:after="0" w:line="408" w:lineRule="exact"/>
        <w:ind w:left="0" w:right="0" w:firstLine="576"/>
        <w:jc w:val="left"/>
      </w:pPr>
      <w:r>
        <w:rPr/>
        <w:t xml:space="preserve">(3) Subject to funds appropriated for this specific purpose, the Washington courts' board for judicial administration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240" w:after="0" w:line="408" w:lineRule="exact"/>
        <w:ind w:left="0" w:right="0" w:firstLine="576"/>
        <w:jc w:val="center"/>
      </w:pPr>
      <w:r>
        <w:rPr>
          <w:b/>
        </w:rPr>
        <w:t xml:space="preserve">Part 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 If an emergency situation prevents a first attempt at service within 24 hours, law enforcement must attempt service as soon as possible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Subject to funds appropriated for this specific purpose,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legislature recognizes the inherent volatility and danger associated with domestic violence, particularly when the court has made a finding that an ex parte order to surrender and prohibit weapons is necessary. The risk of domestic violence homicide is most acute when a victim is ending the relationship and throughout legal proceedings. The presence of a firearm in a domestic violence situation increases the risk of homicide by 11 times. The legislature acknowledges the potential for judicial or administrative error in hearings on full protection orders and the significant consequences that can result from such errors. In recognition of the potential for error, the legislature has previously established in RCW 2.24.050 that decisions of court commissioners are subject to revision and the courts have created processes for reconsideration of rulings. Therefore,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At the hearing in which the court denies the petition for a full protection order, if the petitioner is present, the court must notify the petitioner verbally of the procedures and timelines for filing a motion for reconsideration or a motion for revision. The court must provide the petitioner with written information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Subsections (1) and (2) of this section do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III.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u w:val="single"/>
        </w:rPr>
        <w:t xml:space="preserve">(5) Subject to funds appropriated for this specific purpose:</w:t>
      </w:r>
    </w:p>
    <w:p>
      <w:pPr>
        <w:spacing w:before="0" w:after="0" w:line="408" w:lineRule="exact"/>
        <w:ind w:left="0" w:right="0" w:firstLine="576"/>
        <w:jc w:val="left"/>
      </w:pPr>
      <w:r>
        <w:rPr>
          <w:u w:val="single"/>
        </w:rPr>
        <w:t xml:space="preserve">(a) The curriculum required in subsection (2) of this section must include trauma-informed investigation and interviewing skills, domestic violence homicide prevention, the intersection of firearms and domestic violence, best practices for serving and enforcing protection orders, and assistance to and services for victims and children; and</w:t>
      </w:r>
    </w:p>
    <w:p>
      <w:pPr>
        <w:spacing w:before="0" w:after="0" w:line="408" w:lineRule="exact"/>
        <w:ind w:left="0" w:right="0" w:firstLine="576"/>
        <w:jc w:val="left"/>
      </w:pPr>
      <w:r>
        <w:rPr>
          <w:u w:val="single"/>
        </w:rPr>
        <w:t xml:space="preserve">(b) The in-service training program required in subsection (3) of this section must include training on domestic violence homicide prevention, the intersection of firearms and domestic violence, best practices for serving and enforcing protection orders, and assistance to and services for victims and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w:t>
      </w:r>
      <w:r>
        <w:t>((</w:t>
      </w:r>
      <w:r>
        <w:rPr>
          <w:strike/>
        </w:rPr>
        <w:t xml:space="preserve">his or her</w:t>
      </w:r>
      <w:r>
        <w:t>))</w:t>
      </w:r>
      <w:r>
        <w:rPr/>
        <w:t xml:space="preserve"> </w:t>
      </w:r>
      <w:r>
        <w:rPr>
          <w:u w:val="single"/>
        </w:rPr>
        <w:t xml:space="preserve">the attorney's</w:t>
      </w:r>
      <w:r>
        <w:rPr/>
        <w:t xml:space="preserve">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w:t>
      </w:r>
      <w:r>
        <w:t>((</w:t>
      </w:r>
      <w:r>
        <w:rPr>
          <w:strike/>
        </w:rPr>
        <w:t xml:space="preserve">protective</w:t>
      </w:r>
      <w:r>
        <w:t>))</w:t>
      </w:r>
      <w:r>
        <w:rPr/>
        <w:t xml:space="preserve"> </w:t>
      </w:r>
      <w:r>
        <w:rPr>
          <w:u w:val="single"/>
        </w:rPr>
        <w:t xml:space="preserve">protection</w:t>
      </w:r>
      <w:r>
        <w:rPr/>
        <w:t xml:space="preser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IV.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notification to any person identified in a no-contact order, restraining order, or protection order and any identified victim of the crime that resulted in the firearm surrender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w:t>
      </w:r>
      <w:r>
        <w:t>((</w:t>
      </w:r>
      <w:r>
        <w:rPr>
          <w:strike/>
        </w:rPr>
        <w:t xml:space="preserve">twenty-four hours</w:t>
      </w:r>
      <w:r>
        <w:t>))</w:t>
      </w:r>
      <w:r>
        <w:rPr/>
        <w:t xml:space="preserve"> </w:t>
      </w:r>
      <w:r>
        <w:rPr>
          <w:u w:val="single"/>
        </w:rPr>
        <w:t xml:space="preserve">five business days</w:t>
      </w:r>
      <w:r>
        <w:rPr/>
        <w:t xml:space="preserve"> have elapsed from the time the firearm was obtained by law enforcement</w:t>
      </w:r>
      <w:r>
        <w:t>((</w:t>
      </w:r>
      <w:r>
        <w:rPr>
          <w:strike/>
        </w:rPr>
        <w:t xml:space="preserve">, unless the firearm was seized in connection with a domestic violence call pursuant to RCW 10.99.030, in which case the law enforcement agency must ensure that five business days have elapsed from the time the firearm was obtained</w:t>
      </w:r>
      <w:r>
        <w:t>))</w:t>
      </w:r>
      <w:r>
        <w:rPr>
          <w:u w:val="single"/>
        </w:rPr>
        <w:t xml:space="preserve">; and</w:t>
      </w:r>
    </w:p>
    <w:p>
      <w:pPr>
        <w:spacing w:before="0" w:after="0" w:line="408" w:lineRule="exact"/>
        <w:ind w:left="0" w:right="0" w:firstLine="576"/>
        <w:jc w:val="left"/>
      </w:pPr>
      <w:r>
        <w:rPr>
          <w:u w:val="single"/>
        </w:rPr>
        <w:t xml:space="preserve">(e) If a family or household member or intimate partner has requested notification under RCW 9.41.340(1)(a)(i), or notification to an identified victim or protected person is required per RCW 9.41.340(1)(a)(ii), provide notice to the appropriate person within one business day of verifying that the requirements in (a) through (c) of this subsection have been met</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RCW 9.41.340(1)(a) (i) or (ii)</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w:t>
      </w:r>
      <w:r>
        <w:t>((</w:t>
      </w:r>
      <w:r>
        <w:rPr>
          <w:strike/>
        </w:rPr>
        <w:t xml:space="preserve">seventy-two hours</w:t>
      </w:r>
      <w:r>
        <w:t>))</w:t>
      </w:r>
      <w:r>
        <w:rPr/>
        <w:t xml:space="preserve"> </w:t>
      </w:r>
      <w:r>
        <w:rPr>
          <w:u w:val="single"/>
        </w:rPr>
        <w:t xml:space="preserve">five business days</w:t>
      </w:r>
      <w:r>
        <w:rPr/>
        <w:t xml:space="preserve">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w:t>
      </w:r>
      <w:r>
        <w:rPr>
          <w:u w:val="single"/>
        </w:rPr>
        <w:t xml:space="preserve">(a)</w:t>
      </w:r>
      <w:r>
        <w:rPr/>
        <w:t xml:space="preserve">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w:t>
      </w:r>
      <w:r>
        <w:t>((</w:t>
      </w:r>
      <w:r>
        <w:rPr>
          <w:strike/>
        </w:rPr>
        <w:t xml:space="preserve">A compliance review hearing is not required if the court can otherwise enter findings on the record or enter written findings that the proof of surrender or declaration of nonsurrender</w:t>
      </w:r>
      <w:r>
        <w:t>))</w:t>
      </w:r>
      <w:r>
        <w:rPr/>
        <w:t xml:space="preserve"> </w:t>
      </w:r>
      <w:r>
        <w:rPr>
          <w:u w:val="single"/>
        </w:rPr>
        <w:t xml:space="preserve">For any case where the court has indication that the respondent has in the respondent's possession, custody, or control firearms, dangerous weapons, or a concealed pistol license, a compliance review hearing shall be held. A compliance review hearing may be waived by the court or held at a later date if the information</w:t>
      </w:r>
      <w:r>
        <w:rPr/>
        <w:t xml:space="preserve">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w:t>
      </w:r>
      <w:r>
        <w:rPr>
          <w:u w:val="single"/>
        </w:rPr>
        <w:t xml:space="preserve">, and the court is able to make a finding of compliance</w:t>
      </w:r>
      <w:r>
        <w:rPr/>
        <w:t xml:space="preserve">. If the court does not have a sufficient record before it on which to make such a finding, the court must set a review hearing to occur as soon as possible </w:t>
      </w:r>
      <w:r>
        <w:t>((</w:t>
      </w:r>
      <w:r>
        <w:rPr>
          <w:strike/>
        </w:rPr>
        <w:t xml:space="preserve">at which the</w:t>
      </w:r>
      <w:r>
        <w:t>))</w:t>
      </w:r>
      <w:r>
        <w:rPr/>
        <w:t xml:space="preserve"> </w:t>
      </w:r>
      <w:r>
        <w:rPr>
          <w:u w:val="single"/>
        </w:rPr>
        <w:t xml:space="preserve">and service by law enforcement shall be prioritized to minimize the time during which the respondent could access their firearms, dangerous weapons, or concealed pistol license. The</w:t>
      </w:r>
      <w:r>
        <w:rPr/>
        <w:t xml:space="preserv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u w:val="single"/>
        </w:rPr>
        <w:t xml:space="preserve">(b) In making its findings regarding compliance, the court should also consider any available department of licensing and Washington state patrol firearm records; for criminal cases, the police report and any documentation of firearms, or their recovery pursuant to RCW 10.99.030(3)(a); and for civil protection order cases, the protection order narrative, any sections of the protection order petition that specifically reference or inquire about firearms and other dangerous weapons, any attachments to the protection order petition, any affidavits from law enforcement or the petitioner in response to a respondent's declaration regarding firearm surrender, or other relevant evidence regarding firearms, dangerous weapons, or a concealed pistol license in the person's custody, control, or possession.</w:t>
      </w:r>
    </w:p>
    <w:p>
      <w:pPr>
        <w:spacing w:before="0" w:after="0" w:line="408" w:lineRule="exact"/>
        <w:ind w:left="0" w:right="0" w:firstLine="576"/>
        <w:jc w:val="left"/>
      </w:pPr>
      <w:r>
        <w:rPr>
          <w:u w:val="single"/>
        </w:rPr>
        <w:t xml:space="preserve">(c) If the court is considering waiving or delaying the compliance review hearing, the petitioner, law enforcement, or the state or city attorney may request that the compliance hearing be held, if there is reasonable suspicion to believe that the respondent has not surrendered all firearms, dangerous weapons, and any concealed pistol license, or is otherwise out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w:t>
      </w:r>
      <w:r>
        <w:rPr>
          <w:u w:val="single"/>
        </w:rPr>
        <w:t xml:space="preserve">with additional sanctions for failure to appear,</w:t>
      </w:r>
      <w:r>
        <w:rPr/>
        <w:t xml:space="preserve">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w:t>
      </w:r>
      <w:r>
        <w:t>((</w:t>
      </w:r>
      <w:r>
        <w:rPr>
          <w:strike/>
        </w:rPr>
        <w:t xml:space="preserve">the</w:t>
      </w:r>
      <w:r>
        <w:t>))</w:t>
      </w:r>
      <w:r>
        <w:rPr/>
        <w:t xml:space="preserve"> </w:t>
      </w:r>
      <w:r>
        <w:rPr>
          <w:u w:val="single"/>
        </w:rPr>
        <w:t xml:space="preserve">an</w:t>
      </w:r>
      <w:r>
        <w:rPr/>
        <w:t xml:space="preserv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w:t>
      </w:r>
      <w:r>
        <w:t>((</w:t>
      </w:r>
      <w:r>
        <w:rPr>
          <w:strike/>
        </w:rPr>
        <w:t xml:space="preserve">issued in connection with another type of protection order</w:t>
      </w:r>
      <w:r>
        <w:t>))</w:t>
      </w:r>
      <w:r>
        <w:rPr/>
        <w:t xml:space="preserve">.</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w:t>
      </w:r>
      <w:r>
        <w:t>((</w:t>
      </w:r>
      <w:r>
        <w:rPr>
          <w:strike/>
        </w:rPr>
        <w:t xml:space="preserve">An order to surrender and prohibit weapons issued pursuant to RCW 9.41.800 must state that the</w:t>
      </w:r>
      <w:r>
        <w:t>))</w:t>
      </w:r>
      <w:r>
        <w:rPr/>
        <w:t xml:space="preserve"> </w:t>
      </w:r>
      <w:r>
        <w:rPr>
          <w:u w:val="single"/>
        </w:rPr>
        <w:t xml:space="preserve">The</w:t>
      </w:r>
      <w:r>
        <w:rPr/>
        <w:t xml:space="preserve"> act of voluntarily surrendering firearms or weapons, </w:t>
      </w:r>
      <w:r>
        <w:t>((</w:t>
      </w:r>
      <w:r>
        <w:rPr>
          <w:strike/>
        </w:rPr>
        <w:t xml:space="preserve">or</w:t>
      </w:r>
      <w:r>
        <w:t>))</w:t>
      </w:r>
      <w:r>
        <w:rPr/>
        <w:t xml:space="preserve"> providing testimony relating to the surrender of firearms or weapons, </w:t>
      </w:r>
      <w:r>
        <w:t>((</w:t>
      </w:r>
      <w:r>
        <w:rPr>
          <w:strike/>
        </w:rPr>
        <w:t xml:space="preserve">pursuant to such an order,</w:t>
      </w:r>
      <w:r>
        <w:t>))</w:t>
      </w:r>
      <w:r>
        <w:rPr/>
        <w:t xml:space="preserve"> </w:t>
      </w:r>
      <w:r>
        <w:rPr>
          <w:u w:val="single"/>
        </w:rPr>
        <w:t xml:space="preserve">or complying with an order to surrender and prohibit weapons issued pursuant to RCW 9.41.800 or 10.99.100, and any information directly or indirectly derived from such act or testimony,</w:t>
      </w:r>
      <w:r>
        <w:rPr/>
        <w:t xml:space="preserve"> may not be used against the </w:t>
      </w:r>
      <w:r>
        <w:t>((</w:t>
      </w:r>
      <w:r>
        <w:rPr>
          <w:strike/>
        </w:rPr>
        <w:t xml:space="preserve">respondent</w:t>
      </w:r>
      <w:r>
        <w:t>))</w:t>
      </w:r>
      <w:r>
        <w:rPr/>
        <w:t xml:space="preserve"> </w:t>
      </w:r>
      <w:r>
        <w:rPr>
          <w:u w:val="single"/>
        </w:rPr>
        <w:t xml:space="preserve">person subject to the order</w:t>
      </w:r>
      <w:r>
        <w:rPr/>
        <w:t xml:space="preserve"> in any criminal prosecution under this chapter, chapter 7.105 RCW, or RCW 9A.56.310</w:t>
      </w:r>
      <w:r>
        <w:rPr>
          <w:u w:val="single"/>
        </w:rPr>
        <w:t xml:space="preserve">, or in any criminal prosecution pursuant to which such order to surrender and prohibit weapons was issued, except a prosecution for perjury, giving a false statement, or otherwise failing to comply with the order. Every such order issued subsequent to the effective date of this section shall contain language consistent with the statutory immunity set forth in this subsection.</w:t>
      </w:r>
    </w:p>
    <w:p>
      <w:pPr>
        <w:spacing w:before="0" w:after="0" w:line="408" w:lineRule="exact"/>
        <w:ind w:left="0" w:right="0" w:firstLine="576"/>
        <w:jc w:val="left"/>
      </w:pPr>
      <w:r>
        <w:rPr>
          <w:u w:val="single"/>
        </w:rPr>
        <w:t xml:space="preserve">(b) If a person subject to such an order invokes the privilege against self-incrimination at the time of issuance of the order or at a subsequent hearing, the court may afford the person subject to the order an opportunity to demonstrate that compliance with the surrender provision of the order would expose that person to a realistic threat of self-incrimination in a subsequent or pending criminal proceeding. The court may conduct this portion of the proceeding ex parte or receive evidence in camera, without the presence of the prosecuting attorney, after the court conducts an analysis under </w:t>
      </w:r>
      <w:r>
        <w:rPr>
          <w:i/>
          <w:u w:val="single"/>
        </w:rPr>
        <w:t xml:space="preserve">State v. Bone-Club</w:t>
      </w:r>
      <w:r>
        <w:rPr>
          <w:u w:val="single"/>
        </w:rPr>
        <w:t xml:space="preserve">, 128 wn.2d 254, and concludes that the courtroom may be closed.</w:t>
      </w:r>
    </w:p>
    <w:p>
      <w:pPr>
        <w:spacing w:before="0" w:after="0" w:line="408" w:lineRule="exact"/>
        <w:ind w:left="0" w:right="0" w:firstLine="576"/>
        <w:jc w:val="left"/>
      </w:pPr>
      <w:r>
        <w:rPr>
          <w:u w:val="single"/>
        </w:rPr>
        <w:t xml:space="preserve">(c) If the person subject to the order establishes such a realistic threat of self-incrimination regarding possible criminal prosecution that is not addressed by the immunity from prosecution set forth in (a) of this subsection, the court shall afford the relevant prosecuting attorney an opportunity to offer an immunity agreement tailored specifically to the firearms or weapons implicated by the potential self-incrimination. To achieve the purposes of this section, any immunity offered should be narrowly tailored to address any realistic threat of self-incrimination while ensuring that any other firearms not implicated are surrendered.</w:t>
      </w:r>
    </w:p>
    <w:p>
      <w:pPr>
        <w:spacing w:before="0" w:after="0" w:line="408" w:lineRule="exact"/>
        <w:ind w:left="0" w:right="0" w:firstLine="576"/>
        <w:jc w:val="left"/>
      </w:pPr>
      <w:r>
        <w:rPr>
          <w:u w:val="single"/>
        </w:rPr>
        <w:t xml:space="preserve">(d) Any immunity from prosecution beyond the immunity set forth in (a) of this subsection, may only be extended by the prosecuting attorney. If the prosecuting attorney declines to extend immunity such that the person subject to the order cannot fully comply with its surrender provision without facing a realistic threat of self-incrimination, the court's order must provide for the surrender of every firearm, dangerous weapon, and concealed pistol license that does not implicate a realistic threat of self-incrimination. The order's prohibitions regarding accessing, purchasing, receiving, or attempting to purchase or receive, any firearms or other dangerous weapons, or concealed pistol license, remain in effect.</w:t>
      </w:r>
    </w:p>
    <w:p>
      <w:pPr>
        <w:spacing w:before="0" w:after="0" w:line="408" w:lineRule="exact"/>
        <w:ind w:left="0" w:right="0" w:firstLine="576"/>
        <w:jc w:val="left"/>
      </w:pPr>
      <w:r>
        <w:rPr>
          <w:u w:val="single"/>
        </w:rPr>
        <w:t xml:space="preserve">(e) Nothing in this section shall be interpreted as diminishing the requirement that the person subject to the order fully comply with the order issued by the court. The burden remains on the person subject to the order to prove compliance</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(10)</w:t>
      </w:r>
      <w:r>
        <w:rPr/>
        <w:t xml:space="preserve">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w:t>
      </w:r>
      <w:r>
        <w:rPr>
          <w:u w:val="single"/>
        </w:rPr>
        <w:t xml:space="preserve">ex parte and full</w:t>
      </w:r>
      <w:r>
        <w:rPr/>
        <w:t xml:space="preserve"> orders issued under this chapter by each court, </w:t>
      </w:r>
      <w:r>
        <w:t>((</w:t>
      </w:r>
      <w:r>
        <w:rPr>
          <w:strike/>
        </w:rPr>
        <w:t xml:space="preserve">the degree of compliance, and the number of firearms obtained, and may make recommendations regarding additional procedures</w:t>
      </w:r>
      <w:r>
        <w:t>))</w:t>
      </w:r>
      <w:r>
        <w:rPr/>
        <w:t xml:space="preserve"> </w:t>
      </w:r>
      <w:r>
        <w:rPr>
          <w:u w:val="single"/>
        </w:rPr>
        <w:t xml:space="preserve">and, if available, the type of protection order, no-contact order, restraining order, or criminal charge with which the order was issued, the duration of the order, the period of time from issuance of the order until the court's finding of compliance, any violations, the nature of the violations, any sanctions imposed, the number of firearms obtained pursuant to each order, whether subsequent orders were issued involving the same respondent, and may make recommendations regarding additional procedures, training, or data collection and reporting</w:t>
      </w:r>
      <w:r>
        <w:rPr/>
        <w:t xml:space="preserve">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 party ordered</w:t>
      </w:r>
      <w:r>
        <w:t>))</w:t>
      </w:r>
      <w:r>
        <w:rPr/>
        <w:t xml:space="preserve"> </w:t>
      </w:r>
      <w:r>
        <w:rPr>
          <w:u w:val="single"/>
        </w:rPr>
        <w:t xml:space="preserve">(1) To prove full compliance with the court's order</w:t>
      </w:r>
      <w:r>
        <w:rPr/>
        <w:t xml:space="preserve"> to surrender firearms, dangerous weapons, and </w:t>
      </w:r>
      <w:r>
        <w:t>((</w:t>
      </w:r>
      <w:r>
        <w:rPr>
          <w:strike/>
        </w:rPr>
        <w:t xml:space="preserve">his or her</w:t>
      </w:r>
      <w:r>
        <w:t>))</w:t>
      </w:r>
      <w:r>
        <w:rPr/>
        <w:t xml:space="preserve"> </w:t>
      </w:r>
      <w:r>
        <w:rPr>
          <w:u w:val="single"/>
        </w:rPr>
        <w:t xml:space="preserve">any</w:t>
      </w:r>
      <w:r>
        <w:rPr/>
        <w:t xml:space="preserve"> concealed pistol license under RCW 9.41.800 </w:t>
      </w:r>
      <w:r>
        <w:rPr>
          <w:u w:val="single"/>
        </w:rPr>
        <w:t xml:space="preserve">the person subject to the order</w:t>
      </w:r>
      <w:r>
        <w:rPr/>
        <w:t xml:space="preserve"> must file with the clerk of the court </w:t>
      </w:r>
      <w:r>
        <w:t>((</w:t>
      </w:r>
      <w:r>
        <w:rPr>
          <w:strike/>
        </w:rPr>
        <w:t xml:space="preserve">a</w:t>
      </w:r>
      <w:r>
        <w:t>))</w:t>
      </w:r>
      <w:r>
        <w:rPr>
          <w:u w:val="single"/>
        </w:rPr>
        <w:t xml:space="preserve">: (a) A completed</w:t>
      </w:r>
      <w:r>
        <w:rPr/>
        <w:t xml:space="preserve"> proof of surrender and receipt form </w:t>
      </w:r>
      <w:r>
        <w:t>((</w:t>
      </w:r>
      <w:r>
        <w:rPr>
          <w:strike/>
        </w:rPr>
        <w:t xml:space="preserve">or a declaration of nonsurrender form within five judicial days of the entry of the order</w:t>
      </w:r>
      <w:r>
        <w:t>))</w:t>
      </w:r>
      <w:r>
        <w:rPr>
          <w:u w:val="single"/>
        </w:rPr>
        <w:t xml:space="preserve">; (b) a declaration that the person has no firearms, dangerous weapons, or concealed pistol license; or (c) other evidence sufficient to establish full and timely compliance with the order.</w:t>
      </w:r>
    </w:p>
    <w:p>
      <w:pPr>
        <w:spacing w:before="0" w:after="0" w:line="408" w:lineRule="exact"/>
        <w:ind w:left="0" w:right="0" w:firstLine="576"/>
        <w:jc w:val="left"/>
      </w:pPr>
      <w:r>
        <w:rPr>
          <w:u w:val="single"/>
        </w:rPr>
        <w:t xml:space="preserve">(2) The verification of compliance required in subsection (1) of this section must be provided to the court within 24 hours of service of the order, unless the order is pursuant to a criminal proceeding. In a criminal proceeding, if the person subject to the order is in custody, proof of compliance must be provided to the court before the person subject to the order is released from custody; otherwise, proof of compliance must be provided before the conclusion of the sentencing hearing. If the court finds that surrender of all firearms, dangerous weapons, and any concealed pistol license is not possible prior to release or prior to the conclusion of the hearing, then arrangements for surrender shall be made and approved by the court before the person's release from custody or before the conclusion of the sentencing hearing, and the court shall order a law enforcement officer to accompany the person to the location where the firearms, dangerous weapons, and concealed pistol license are located so that they are surrendered directly to the law enforcement officer. Surrender to local law enforcement shall occur in a safe manner and proof of compliance provided by law enforcement to the court within 24 hours of either the person's release from custody or the conclusion of the sentencing hearing.</w:t>
      </w:r>
    </w:p>
    <w:p>
      <w:pPr>
        <w:spacing w:before="0" w:after="0" w:line="408" w:lineRule="exact"/>
        <w:ind w:left="0" w:right="0" w:firstLine="576"/>
        <w:jc w:val="left"/>
      </w:pPr>
      <w:r>
        <w:rPr>
          <w:u w:val="single"/>
        </w:rPr>
        <w:t xml:space="preserve">(3) By December 30, 2023, the administrative office of the courts shall develop and distribute any new or updated forms necessary to implement subsections (1) and (2) of this section, and other sections of this act where a form needs to be created or updated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w:t>
      </w:r>
      <w:r>
        <w:rPr>
          <w:u w:val="single"/>
        </w:rPr>
        <w:t xml:space="preserve">or subject to the respondent's immediate possession or control,</w:t>
      </w:r>
      <w:r>
        <w:rPr/>
        <w:t xml:space="preserve">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2022 c 268 s 29 are each amended to read as follows:</w:t>
      </w:r>
    </w:p>
    <w:p>
      <w:pPr>
        <w:spacing w:before="0" w:after="0" w:line="408" w:lineRule="exact"/>
        <w:ind w:left="0" w:right="0" w:firstLine="576"/>
        <w:jc w:val="left"/>
      </w:pPr>
      <w:r>
        <w:rPr/>
        <w:t xml:space="preserve">(1) Any court when entering an order authorized under chapter 7.105 RCW, RCW </w:t>
      </w:r>
      <w:r>
        <w:rPr>
          <w:u w:val="single"/>
        </w:rPr>
        <w:t xml:space="preserve">9A.40.102, 9A.44.210,</w:t>
      </w:r>
      <w:r>
        <w:rPr/>
        <w:t xml:space="preserve"> 9A.46.080, </w:t>
      </w:r>
      <w:r>
        <w:rPr>
          <w:u w:val="single"/>
        </w:rPr>
        <w:t xml:space="preserve">9A.88.160,</w:t>
      </w:r>
      <w:r>
        <w:rPr/>
        <w:t xml:space="preserve"> 10.99.040, 10.99.045, 26.09.050, 26.09.060, 26.26B.020, </w:t>
      </w:r>
      <w:r>
        <w:t>((</w:t>
      </w:r>
      <w:r>
        <w:rPr>
          <w:strike/>
        </w:rPr>
        <w:t xml:space="preserve">or</w:t>
      </w:r>
      <w:r>
        <w:t>))</w:t>
      </w:r>
      <w:r>
        <w:rPr/>
        <w:t xml:space="preserve"> 26.26A.470</w:t>
      </w:r>
      <w:r>
        <w:rPr>
          <w:u w:val="single"/>
        </w:rPr>
        <w:t xml:space="preserve">, or 46.61.5055</w:t>
      </w:r>
      <w:r>
        <w:rPr/>
        <w:t xml:space="preserve"> shall, upon a showing by a preponderance of the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(e) Other than for ex parte temporary protection orders, unless the ex parte temporary protection order was reissued after the party received noticed and had an opportunity to be heard, direct law enforcement to revoke any concealed pistol license issued to the party.</w:t>
      </w:r>
    </w:p>
    <w:p>
      <w:pPr>
        <w:spacing w:before="0" w:after="0" w:line="408" w:lineRule="exact"/>
        <w:ind w:left="0" w:right="0" w:firstLine="576"/>
        <w:jc w:val="left"/>
      </w:pPr>
      <w:r>
        <w:rPr/>
        <w:t xml:space="preserve">(2) During any period of time that the party is subject to a court order issued under chapter 7.105, 9A.46, 10.99, 26.09, 26.26A, or 26.26B RCW that:</w:t>
      </w:r>
    </w:p>
    <w:p>
      <w:pPr>
        <w:spacing w:before="0" w:after="0" w:line="408" w:lineRule="exact"/>
        <w:ind w:left="0" w:right="0" w:firstLine="576"/>
        <w:jc w:val="left"/>
      </w:pPr>
      <w:r>
        <w:rPr/>
        <w:t xml:space="preserve">(a) Was issued after a hearing of which the party received actual notice, and at which the party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party from harassing, stalking, or threatening an intimate partner of the party, the protected person, or child of the intimate partner, party, or protected person, or engaging in other conduct that would place an intimate partner or protected person in reasonable fear of bodily injury to the intimate partner, protected person, or child; and</w:t>
      </w:r>
    </w:p>
    <w:p>
      <w:pPr>
        <w:spacing w:before="0" w:after="0" w:line="408" w:lineRule="exact"/>
        <w:ind w:left="0" w:right="0" w:firstLine="576"/>
        <w:jc w:val="left"/>
      </w:pPr>
      <w:r>
        <w:rPr/>
        <w:t xml:space="preserve">(c)(i) Includes a finding that the party represents a credible threat to the physical safety of the intimate partner, protected person, or child; or</w:t>
      </w:r>
    </w:p>
    <w:p>
      <w:pPr>
        <w:spacing w:before="0" w:after="0" w:line="408" w:lineRule="exact"/>
        <w:ind w:left="0" w:right="0" w:firstLine="576"/>
        <w:jc w:val="left"/>
      </w:pPr>
      <w:r>
        <w:rPr/>
        <w:t xml:space="preserve">(ii) By its terms, explicitly prohibits the use, attempted use, or threatened use of physical force against the intimate partner, protected person,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having </w:t>
      </w:r>
      <w:r>
        <w:t>((</w:t>
      </w:r>
      <w:r>
        <w:rPr>
          <w:strike/>
        </w:rPr>
        <w:t xml:space="preserve">in his or her</w:t>
      </w:r>
      <w:r>
        <w:t>))</w:t>
      </w:r>
      <w:r>
        <w:rPr/>
        <w:t xml:space="preserve"> custody or control, possessing, purchasing, receiving, or attempting to purchase or receive,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The court may order temporary surrender and prohibit the purchase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(4) In addition to the provisions of subsections (1) and (3)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(5) The requirements of subsections (1) and (4) of this section may be for a period of time less than the duration of the order.</w:t>
      </w:r>
    </w:p>
    <w:p>
      <w:pPr>
        <w:spacing w:before="0" w:after="0" w:line="408" w:lineRule="exact"/>
        <w:ind w:left="0" w:right="0" w:firstLine="576"/>
        <w:jc w:val="left"/>
      </w:pPr>
      <w:r>
        <w:rPr/>
        <w:t xml:space="preserve">(6) The court shall require the party to surrender all firearms and other dangerous weapons in </w:t>
      </w:r>
      <w:r>
        <w:t>((</w:t>
      </w:r>
      <w:r>
        <w:rPr>
          <w:strike/>
        </w:rPr>
        <w:t xml:space="preserve">his or her immediate</w:t>
      </w:r>
      <w:r>
        <w:t>))</w:t>
      </w:r>
      <w:r>
        <w:rPr/>
        <w:t xml:space="preserve"> </w:t>
      </w:r>
      <w:r>
        <w:rPr>
          <w:u w:val="single"/>
        </w:rPr>
        <w:t xml:space="preserve">the party's custody, control, or</w:t>
      </w:r>
      <w:r>
        <w:rPr/>
        <w:t xml:space="preserve"> possession </w:t>
      </w:r>
      <w:r>
        <w:t>((</w:t>
      </w:r>
      <w:r>
        <w:rPr>
          <w:strike/>
        </w:rPr>
        <w:t xml:space="preserve">or control</w:t>
      </w:r>
      <w:r>
        <w:t>))</w:t>
      </w:r>
      <w:r>
        <w:rPr>
          <w:u w:val="single"/>
        </w:rPr>
        <w:t xml:space="preserve">,</w:t>
      </w:r>
      <w:r>
        <w:rPr/>
        <w:t xml:space="preserve"> or subject to </w:t>
      </w:r>
      <w:r>
        <w:t>((</w:t>
      </w:r>
      <w:r>
        <w:rPr>
          <w:strike/>
        </w:rPr>
        <w:t xml:space="preserve">his or her</w:t>
      </w:r>
      <w:r>
        <w:t>))</w:t>
      </w:r>
      <w:r>
        <w:rPr/>
        <w:t xml:space="preserve"> </w:t>
      </w:r>
      <w:r>
        <w:rPr>
          <w:u w:val="single"/>
        </w:rPr>
        <w:t xml:space="preserve">the party's</w:t>
      </w:r>
      <w:r>
        <w:rPr/>
        <w:t xml:space="preserve"> immediate possession or control, and any concealed pistol license issued under RCW 9.41.070, to the local law enforcement agency. </w:t>
      </w:r>
      <w:r>
        <w:t>((</w:t>
      </w:r>
      <w:r>
        <w:rPr>
          <w:strike/>
        </w:rPr>
        <w:t xml:space="preserve">Law enforcement officers shall use law enforcement databases to assist in locating the party in situations where the protected person does not know where the party lives or where there is evidence that the party is trying to evade service.</w:t>
      </w:r>
      <w:r>
        <w:t>))</w:t>
      </w:r>
    </w:p>
    <w:p>
      <w:pPr>
        <w:spacing w:before="0" w:after="0" w:line="408" w:lineRule="exact"/>
        <w:ind w:left="0" w:right="0" w:firstLine="576"/>
        <w:jc w:val="left"/>
      </w:pPr>
      <w:r>
        <w:rPr/>
        <w:t xml:space="preserve">(7) If the court enters a protection order, restraining order, or no-contact order that includes an order to surrender firearms, dangerous weapons, and any concealed pistol license under this section:</w:t>
      </w:r>
    </w:p>
    <w:p>
      <w:pPr>
        <w:spacing w:before="0" w:after="0" w:line="408" w:lineRule="exact"/>
        <w:ind w:left="0" w:right="0" w:firstLine="576"/>
        <w:jc w:val="left"/>
      </w:pPr>
      <w:r>
        <w:rPr/>
        <w:t xml:space="preserve">(a) The order must be served by a law enforcement officer; </w:t>
      </w:r>
      <w:r>
        <w:t>((</w:t>
      </w:r>
      <w:r>
        <w:rPr>
          <w:strike/>
        </w:rPr>
        <w:t xml:space="preserve">and</w:t>
      </w:r>
      <w:r>
        <w:t>))</w:t>
      </w:r>
    </w:p>
    <w:p>
      <w:pPr>
        <w:spacing w:before="0" w:after="0" w:line="408" w:lineRule="exact"/>
        <w:ind w:left="0" w:right="0" w:firstLine="576"/>
        <w:jc w:val="left"/>
      </w:pPr>
      <w:r>
        <w:rPr/>
        <w:t xml:space="preserve">(b) Law enforcement must immediately ensure entry of the order to surrender and prohibit weapons and the revocation of any concealed pistol license is made into the appropriate databases making the party ineligible to possess firearms and a concealed pistol license</w:t>
      </w:r>
      <w:r>
        <w:rPr>
          <w:u w:val="single"/>
        </w:rPr>
        <w:t xml:space="preserve">; and</w:t>
      </w:r>
    </w:p>
    <w:p>
      <w:pPr>
        <w:spacing w:before="0" w:after="0" w:line="408" w:lineRule="exact"/>
        <w:ind w:left="0" w:right="0" w:firstLine="576"/>
        <w:jc w:val="left"/>
      </w:pPr>
      <w:r>
        <w:rPr>
          <w:u w:val="single"/>
        </w:rPr>
        <w:t xml:space="preserve">(c) Law enforcement officers shall use law enforcement databases to assist in locating the party in situations where the protected person does not know where the party lives or where there is evidence that the party is trying to evade service</w:t>
      </w:r>
      <w:r>
        <w:rPr/>
        <w:t xml:space="preserve">.</w:t>
      </w:r>
    </w:p>
    <w:p>
      <w:pPr>
        <w:spacing w:before="240" w:after="0" w:line="408" w:lineRule="exact"/>
        <w:ind w:left="0" w:right="0" w:firstLine="576"/>
        <w:jc w:val="center"/>
      </w:pPr>
      <w:r>
        <w:rPr>
          <w:b/>
        </w:rPr>
        <w:t xml:space="preserve">Part VI.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funds appropriated for this specific purpose, the University of Washington shall develop a plan to establish a center of excellence in research, policy, and practice to reduce domestic violence.</w:t>
      </w:r>
    </w:p>
    <w:p>
      <w:pPr>
        <w:spacing w:before="0" w:after="0" w:line="408" w:lineRule="exact"/>
        <w:ind w:left="0" w:right="0" w:firstLine="576"/>
        <w:jc w:val="left"/>
      </w:pPr>
      <w:r>
        <w:rPr/>
        <w:t xml:space="preserve">(2) The plan must be developed with relevant disciplines across the schools of the University of Washington. The school of public health shall lead the development of the plan. The development of the plan must include, but not be limited to, the schools of social work, law, medicine, and nursing, and the Alene Moris women's center.</w:t>
      </w:r>
    </w:p>
    <w:p>
      <w:pPr>
        <w:spacing w:before="0" w:after="0" w:line="408" w:lineRule="exact"/>
        <w:ind w:left="0" w:right="0" w:firstLine="576"/>
        <w:jc w:val="left"/>
      </w:pPr>
      <w:r>
        <w:rPr/>
        <w:t xml:space="preserve">(3) The University of Washington must develop a report summarizing the plan, which must evaluate, but not be limited to, the following topics:</w:t>
      </w:r>
    </w:p>
    <w:p>
      <w:pPr>
        <w:spacing w:before="0" w:after="0" w:line="408" w:lineRule="exact"/>
        <w:ind w:left="0" w:right="0" w:firstLine="576"/>
        <w:jc w:val="left"/>
      </w:pPr>
      <w:r>
        <w:rPr/>
        <w:t xml:space="preserve">(a) Conducting scientifically rigorous intimate partner violence research that informs policy and practice in Washington;</w:t>
      </w:r>
    </w:p>
    <w:p>
      <w:pPr>
        <w:spacing w:before="0" w:after="0" w:line="408" w:lineRule="exact"/>
        <w:ind w:left="0" w:right="0" w:firstLine="576"/>
        <w:jc w:val="left"/>
      </w:pPr>
      <w:r>
        <w:rPr/>
        <w:t xml:space="preserve">(b) Disseminating existing research findings and best practices in order to proliferate evidence-based intimate partner violence policy and practice;</w:t>
      </w:r>
    </w:p>
    <w:p>
      <w:pPr>
        <w:spacing w:before="0" w:after="0" w:line="408" w:lineRule="exact"/>
        <w:ind w:left="0" w:right="0" w:firstLine="576"/>
        <w:jc w:val="left"/>
      </w:pPr>
      <w:r>
        <w:rPr/>
        <w:t xml:space="preserve">(c) Promoting effective strategies to reduce the incidence of domestic violence and domestic violence homicide; and</w:t>
      </w:r>
    </w:p>
    <w:p>
      <w:pPr>
        <w:spacing w:before="0" w:after="0" w:line="408" w:lineRule="exact"/>
        <w:ind w:left="0" w:right="0" w:firstLine="576"/>
        <w:jc w:val="left"/>
      </w:pPr>
      <w:r>
        <w:rPr/>
        <w:t xml:space="preserve">(d) Engaging in strategic planning efforts with relevant stakeholders to develop policy recommendations to improve the state's response to domestic violence.</w:t>
      </w:r>
    </w:p>
    <w:p>
      <w:pPr>
        <w:spacing w:before="0" w:after="0" w:line="408" w:lineRule="exact"/>
        <w:ind w:left="0" w:right="0" w:firstLine="576"/>
        <w:jc w:val="left"/>
      </w:pPr>
      <w:r>
        <w:rPr/>
        <w:t xml:space="preserve">(4) In developing the plan, the University of Washington shall establish an external stakeholder group that shall ensure that all work conducted by the center is informed by survivors of domestic violence, including Black, indigenous, and survivors of color, and LGBTQ survivors, to ensure that research interventions are holistic, trauma-informed, and antiracist and policy recommendations are appropriate and effective for Washington's diverse communities. The University of Washington shall include, but not be limited to, survivors of intimate partner violence, including low-income communities, immigrants, refugee communities, people with religious diversity, people with physical disabilities, children and other family members of survivors, representatives from systems that interact with survivors and perpetrators, and representatives from communities disproportionately impacted by intimate partner violence in order to guide development of the plan's overarching goals and strategic vision. The University of Washington shall provide stipends to stakeholder participants to the extent necessary to maximize participation.</w:t>
      </w:r>
    </w:p>
    <w:p>
      <w:pPr>
        <w:spacing w:before="0" w:after="0" w:line="408" w:lineRule="exact"/>
        <w:ind w:left="0" w:right="0" w:firstLine="576"/>
        <w:jc w:val="left"/>
      </w:pPr>
      <w:r>
        <w:rPr/>
        <w:t xml:space="preserve">(5) The University of Washington shall provide a report to the relevant committees of the legislature with its findings and recommendations as soon as practicable, but no later than January 15, 2024.</w:t>
      </w:r>
    </w:p>
    <w:p>
      <w:pPr>
        <w:spacing w:before="0" w:after="0" w:line="408" w:lineRule="exact"/>
        <w:ind w:left="0" w:right="0" w:firstLine="576"/>
        <w:jc w:val="left"/>
      </w:pPr>
      <w:r>
        <w:rPr/>
        <w:t xml:space="preserve">(6) Subject to funds appropriated for this specific purpose, the University of Washington shall begin implementation of the plan by July 1, 2024.</w:t>
      </w:r>
    </w:p>
    <w:p>
      <w:pPr>
        <w:spacing w:before="240" w:after="0" w:line="408" w:lineRule="exact"/>
        <w:ind w:left="0" w:right="0" w:firstLine="576"/>
        <w:jc w:val="center"/>
      </w:pPr>
      <w:r>
        <w:rPr>
          <w:b/>
        </w:rPr>
        <w:t xml:space="preserve">Part VII.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survivors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2027,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240" w:after="0" w:line="408" w:lineRule="exact"/>
        <w:ind w:left="0" w:right="0" w:firstLine="576"/>
        <w:jc w:val="center"/>
      </w:pPr>
      <w:r>
        <w:rPr>
          <w:b/>
        </w:rPr>
        <w:t xml:space="preserve">Part VIII.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1715</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04/22/2023</w:t>
      </w:r>
    </w:p>
    <w:p>
      <w:pPr>
        <w:spacing w:before="0" w:after="0" w:line="408" w:lineRule="exact"/>
        <w:ind w:left="0" w:right="0" w:firstLine="576"/>
        <w:jc w:val="left"/>
      </w:pPr>
      <w:r>
        <w:rPr/>
        <w:t xml:space="preserve">On page 1, line 3 of the title, after "partners;" strike the remainder of the title and insert "amending RCW 7.105.155, 7.105.255, 10.99.033, 10.99.040, 9.41.340, 9.41.345, 9.41.801, 9.41.804, 7.105.340, 10.21.050, 40.24.030, 42.17A.710, 9.41.800, and 10.31.100; adding a new section to chapter 2.56 RCW; adding a new section to chapter 7.105 RCW; adding a new section to chapter 43.330 RCW; adding a new section to chapter 28B.20 RCW; adding a new section to chapter 43.101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f8fb9a99bb42bc" /></Relationships>
</file>