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f6f8af8014cc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2134-S.E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TRUD</w:t>
        </w:r>
      </w:r>
      <w:r>
        <w:rPr>
          <w:b/>
        </w:rPr>
        <w:t xml:space="preserve"> </w:t>
        <w:r>
          <w:rPr/>
          <w:t xml:space="preserve">S5583.1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2134</w:t>
      </w:r>
      <w:r>
        <w:t xml:space="preserve"> -</w:t>
      </w:r>
      <w:r>
        <w:t xml:space="preserve"> </w:t>
        <w:t xml:space="preserve">S AMD TO S AMD (S-5501.1/24)</w:t>
      </w:r>
      <w:r>
        <w:t xml:space="preserve"> </w:t>
      </w:r>
      <w:r>
        <w:rPr>
          <w:b/>
        </w:rPr>
        <w:t xml:space="preserve">755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Trudeau</w:t>
      </w:r>
    </w:p>
    <w:p>
      <w:pPr>
        <w:jc w:val="right"/>
      </w:pPr>
      <w:r>
        <w:rPr>
          <w:b/>
        </w:rPr>
        <w:t xml:space="preserve">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122, after line 14,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(d) It is the intent of the legislature that the SR 167/SR 509 Puget Sound Gateway project (M00600R): (i) Receive its current revenue assumption of $160,000,000 from the connecting Washington account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in the 2027-2029 fiscal biennium; (ii) maintain the existing $180,000,000 toll revenue assumption in the 2025-2027 fiscal biennium; (iii) reduce funding in the amount of $160,000,000 from the Puget Sound Gateway facility account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in the 2027-2029 fiscal biennium; and (iv) as referenced in the list in subsection (1) of this section, be updated and the LEAP totals be adjusted accordingly.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intent language that changes the funding source on the Gateway project, during the 2027-2029 fiscal biennium, from toll revenues to the Connecting Washington Account. Specifies intent to maintain current toll funding level in the 2025-2027 fiscal biennium.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No fiscal impact in the 2023-2025 fiscal biennium. Legislative intent to remove $160,000,000 of toll funding in the 2027-2029 fiscal biennium and increase $160,000,000 from Connecting Washington account</w:t>
      </w:r>
      <w:r>
        <w:rPr>
          <w:rFonts w:ascii="Times New Roman" w:hAnsi="Times New Roman"/>
        </w:rPr>
        <w:t xml:space="preserve">—</w:t>
      </w:r>
      <w:r>
        <w:rPr/>
        <w:t xml:space="preserve">state funding in the 2027-2029 fiscal biennium.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97b667e194483" /></Relationships>
</file>