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a0e82a9f544fb" /></Relationships>
</file>

<file path=word/document.xml><?xml version="1.0" encoding="utf-8"?>
<w:document xmlns:w="http://schemas.openxmlformats.org/wordprocessingml/2006/main">
  <w:body>
    <w:p>
      <w:r>
        <w:rPr>
          <w:b/>
        </w:rPr>
        <w:r>
          <w:rPr/>
          <w:t xml:space="preserve">2301-S2.E</w:t>
        </w:r>
      </w:r>
      <w:r>
        <w:rPr>
          <w:b/>
        </w:rPr>
        <w:t xml:space="preserve"> </w:t>
        <w:t xml:space="preserve">AMS</w:t>
      </w:r>
      <w:r>
        <w:rPr>
          <w:b/>
        </w:rPr>
        <w:t xml:space="preserve"> </w:t>
        <w:r>
          <w:rPr/>
          <w:t xml:space="preserve">ENGR</w:t>
        </w:r>
      </w:r>
      <w:r>
        <w:rPr>
          <w:b/>
        </w:rPr>
        <w:t xml:space="preserve"> </w:t>
        <w:r>
          <w:rPr/>
          <w:t xml:space="preserve">S5569.E</w:t>
        </w:r>
      </w:r>
      <w:r>
        <w:rPr>
          <w:b/>
        </w:rPr>
        <w:t xml:space="preserve"> - NOT FOR FLOOR USE</w:t>
      </w:r>
    </w:p>
    <w:p>
      <w:pPr>
        <w:ind w:left="0" w:right="0" w:firstLine="576"/>
      </w:pPr>
    </w:p>
    <w:p>
      <w:pPr>
        <w:spacing w:before="480" w:after="0" w:line="408" w:lineRule="exact"/>
      </w:pPr>
      <w:r>
        <w:rPr>
          <w:b/>
          <w:u w:val="single"/>
        </w:rPr>
        <w:t xml:space="preserve">E2SHB 2301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Making changes to product degradability labeling requirements; and</w:t>
      </w:r>
    </w:p>
    <w:p>
      <w:pPr>
        <w:spacing w:before="0" w:after="0" w:line="408" w:lineRule="exact"/>
        <w:ind w:left="0" w:right="0" w:firstLine="576"/>
        <w:jc w:val="left"/>
      </w:pPr>
      <w:r>
        <w:rPr/>
        <w:t xml:space="preserve">(d)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compost,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compost,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701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$5,000 until 2026, and no more than $10,000 beginning January 1, 2026</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waste reduction program as determined by the office.</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w:t>
      </w:r>
      <w:r>
        <w:rPr>
          <w:u w:val="single"/>
        </w:rPr>
        <w:t xml:space="preserve">single-family</w:t>
      </w:r>
      <w:r>
        <w:rPr/>
        <w:t xml:space="preserve">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w:t>
      </w:r>
      <w:r>
        <w:rPr>
          <w:u w:val="single"/>
        </w:rPr>
        <w:t xml:space="preserve">single-family</w:t>
      </w:r>
      <w:r>
        <w:rPr/>
        <w:t xml:space="preserve">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2027, the department must develop guidance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 For the purposes of this subsection (1)(e), "person" or "persons" does not include multifamily residences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w:t>
      </w:r>
      <w:r>
        <w:t>((</w:t>
      </w:r>
      <w:r>
        <w:rPr>
          <w:strike/>
        </w:rPr>
        <w:t xml:space="preserve">(d)</w:t>
      </w:r>
      <w:r>
        <w:t>))</w:t>
      </w:r>
      <w:r>
        <w:rPr/>
        <w:t xml:space="preserve"> </w:t>
      </w:r>
      <w:r>
        <w:rPr>
          <w:u w:val="single"/>
        </w:rPr>
        <w:t xml:space="preserve">(e)</w:t>
      </w:r>
      <w:r>
        <w:rPr/>
        <w:t xml:space="preserve">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w:t>
      </w:r>
      <w:r>
        <w:t>((</w:t>
      </w:r>
      <w:r>
        <w:rPr>
          <w:strike/>
        </w:rPr>
        <w:t xml:space="preserve">In addition to the exemptions in (a) and (b)</w:t>
      </w:r>
      <w:r>
        <w:t>))</w:t>
      </w:r>
      <w:r>
        <w:rPr/>
        <w:t xml:space="preserve"> </w:t>
      </w:r>
      <w:r>
        <w:rPr>
          <w:u w:val="single"/>
        </w:rPr>
        <w:t xml:space="preserve">A jurisdiction that collects organic materials, but that does not collect organic materials on a year-round basis as of January 1, 2024, is not required to provide year-round organic solid waste collection services if it provides those services at least 26 weeks annually.</w:t>
      </w:r>
    </w:p>
    <w:p>
      <w:pPr>
        <w:spacing w:before="0" w:after="0" w:line="408" w:lineRule="exact"/>
        <w:ind w:left="0" w:right="0" w:firstLine="576"/>
        <w:jc w:val="left"/>
      </w:pPr>
      <w:r>
        <w:rPr>
          <w:u w:val="single"/>
        </w:rPr>
        <w:t xml:space="preserve">(d) In addition to the exemptions in (a) through (c)</w:t>
      </w:r>
      <w:r>
        <w:rPr/>
        <w:t xml:space="preserve">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Beginning January 1, 2030, the department may adopt a rule to require that the provisions of this section apply in the jurisdictions identified in (b) </w:t>
      </w:r>
      <w:r>
        <w:t>((</w:t>
      </w:r>
      <w:r>
        <w:rPr>
          <w:strike/>
        </w:rPr>
        <w:t xml:space="preserve">and (c)</w:t>
      </w:r>
      <w:r>
        <w:t>))</w:t>
      </w:r>
      <w:r>
        <w:rPr/>
        <w:t xml:space="preserve"> </w:t>
      </w:r>
      <w:r>
        <w:rPr>
          <w:u w:val="single"/>
        </w:rPr>
        <w:t xml:space="preserve">through (d)</w:t>
      </w:r>
      <w:r>
        <w:rPr/>
        <w:t xml:space="preserve">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0" w:after="0" w:line="408" w:lineRule="exact"/>
        <w:ind w:left="0" w:right="0" w:firstLine="576"/>
        <w:jc w:val="left"/>
      </w:pPr>
      <w:r>
        <w:rPr>
          <w:u w:val="single"/>
        </w:rPr>
        <w:t xml:space="preserve">(6) No penalty may be assessed on an individual or resident for the improper disposal of organic materials under subsection (1) of this section in a noncommercial or residential setting.</w:t>
      </w:r>
    </w:p>
    <w:p>
      <w:pPr>
        <w:spacing w:before="0" w:after="0" w:line="408" w:lineRule="exact"/>
        <w:ind w:left="0" w:right="0" w:firstLine="576"/>
        <w:jc w:val="left"/>
      </w:pPr>
      <w:r>
        <w:rPr>
          <w:u w:val="single"/>
        </w:rPr>
        <w:t xml:space="preserve">(7) The department must adopt new rules or amend existing rules adopted under this chapter establishing permit requirements for organic materials management facilities requiring a solid waste handling permit addressing contamination associated with incoming food waste feedstocks and finished products, for environmental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 (1) A product labeled as "compostable" that is sold, offered for sale, or distributed for use in Washington by a producer must </w:t>
      </w:r>
      <w:r>
        <w:rPr>
          <w:u w:val="single"/>
        </w:rPr>
        <w:t xml:space="preserve">meet at least one of the following equivalent standard specifications</w:t>
      </w:r>
      <w:r>
        <w:rPr/>
        <w:t xml:space="preserve">:</w:t>
      </w:r>
    </w:p>
    <w:p>
      <w:pPr>
        <w:spacing w:before="0" w:after="0" w:line="408" w:lineRule="exact"/>
        <w:ind w:left="0" w:right="0" w:firstLine="576"/>
        <w:jc w:val="left"/>
      </w:pPr>
      <w:r>
        <w:rPr/>
        <w:t xml:space="preserve">(a) </w:t>
      </w:r>
      <w:r>
        <w:t>((</w:t>
      </w:r>
      <w:r>
        <w:rPr>
          <w:strike/>
        </w:rPr>
        <w:t xml:space="preserve">Meet</w:t>
      </w:r>
      <w:r>
        <w:t>))</w:t>
      </w:r>
      <w:r>
        <w:rPr/>
        <w:t xml:space="preserve"> ASTM standard specification D6400;</w:t>
      </w:r>
    </w:p>
    <w:p>
      <w:pPr>
        <w:spacing w:before="0" w:after="0" w:line="408" w:lineRule="exact"/>
        <w:ind w:left="0" w:right="0" w:firstLine="576"/>
        <w:jc w:val="left"/>
      </w:pPr>
      <w:r>
        <w:rPr/>
        <w:t xml:space="preserve">(b) </w:t>
      </w:r>
      <w:r>
        <w:t>((</w:t>
      </w:r>
      <w:r>
        <w:rPr>
          <w:strike/>
        </w:rPr>
        <w:t xml:space="preserve">Meet</w:t>
      </w:r>
      <w:r>
        <w:t>))</w:t>
      </w:r>
      <w:r>
        <w:rPr/>
        <w:t xml:space="preserve"> ASTM standard specification D6868; </w:t>
      </w:r>
      <w:r>
        <w:t>((</w:t>
      </w:r>
      <w:r>
        <w:rPr>
          <w:strike/>
        </w:rPr>
        <w:t xml:space="preserve">or</w:t>
      </w:r>
      <w:r>
        <w:t>))</w:t>
      </w:r>
    </w:p>
    <w:p>
      <w:pPr>
        <w:spacing w:before="0" w:after="0" w:line="408" w:lineRule="exact"/>
        <w:ind w:left="0" w:right="0" w:firstLine="576"/>
        <w:jc w:val="left"/>
      </w:pPr>
      <w:r>
        <w:rPr/>
        <w:t xml:space="preserve">(c) </w:t>
      </w:r>
      <w:r>
        <w:rPr>
          <w:u w:val="single"/>
        </w:rPr>
        <w:t xml:space="preserve">ASTM standard specification D8410;</w:t>
      </w:r>
    </w:p>
    <w:p>
      <w:pPr>
        <w:spacing w:before="0" w:after="0" w:line="408" w:lineRule="exact"/>
        <w:ind w:left="0" w:right="0" w:firstLine="576"/>
        <w:jc w:val="left"/>
      </w:pPr>
      <w:r>
        <w:rPr>
          <w:u w:val="single"/>
        </w:rPr>
        <w:t xml:space="preserve">(d) ISO standard specification 17088;</w:t>
      </w:r>
    </w:p>
    <w:p>
      <w:pPr>
        <w:spacing w:before="0" w:after="0" w:line="408" w:lineRule="exact"/>
        <w:ind w:left="0" w:right="0" w:firstLine="576"/>
        <w:jc w:val="left"/>
      </w:pPr>
      <w:r>
        <w:rPr>
          <w:u w:val="single"/>
        </w:rPr>
        <w:t xml:space="preserve">(e) EN standard specification 13432;</w:t>
      </w:r>
    </w:p>
    <w:p>
      <w:pPr>
        <w:spacing w:before="0" w:after="0" w:line="408" w:lineRule="exact"/>
        <w:ind w:left="0" w:right="0" w:firstLine="576"/>
        <w:jc w:val="left"/>
      </w:pPr>
      <w:r>
        <w:rPr>
          <w:u w:val="single"/>
        </w:rPr>
        <w:t xml:space="preserve">(f) A standard specification that is substantially similar to those provided in (a) through (e) of this subsection, as determined by the department; or</w:t>
      </w:r>
    </w:p>
    <w:p>
      <w:pPr>
        <w:spacing w:before="0" w:after="0" w:line="408" w:lineRule="exact"/>
        <w:ind w:left="0" w:right="0" w:firstLine="576"/>
        <w:jc w:val="left"/>
      </w:pPr>
      <w:r>
        <w:rPr>
          <w:u w:val="single"/>
        </w:rPr>
        <w:t xml:space="preserve">(g)</w:t>
      </w:r>
      <w:r>
        <w:rPr/>
        <w:t xml:space="preserve">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98 percent fiber by dry weight; and</w:t>
      </w:r>
    </w:p>
    <w:p>
      <w:pPr>
        <w:spacing w:before="0" w:after="0" w:line="408" w:lineRule="exact"/>
        <w:ind w:left="0" w:right="0" w:firstLine="576"/>
        <w:jc w:val="left"/>
      </w:pPr>
      <w:r>
        <w:rPr>
          <w:u w:val="single"/>
        </w:rPr>
        <w:t xml:space="preserve">(ii) No plastic, plastic polymer or wax additives, or plastic or wax coatings</w:t>
      </w:r>
      <w:r>
        <w:rPr/>
        <w:t xml:space="preserve">.</w:t>
      </w:r>
    </w:p>
    <w:p>
      <w:pPr>
        <w:spacing w:before="0" w:after="0" w:line="408" w:lineRule="exact"/>
        <w:ind w:left="0" w:right="0" w:firstLine="576"/>
        <w:jc w:val="left"/>
      </w:pPr>
      <w:r>
        <w:rPr/>
        <w:t xml:space="preserve">(2) A product described in subsection (1)(a) </w:t>
      </w:r>
      <w:r>
        <w:t>((</w:t>
      </w:r>
      <w:r>
        <w:rPr>
          <w:strike/>
        </w:rPr>
        <w:t xml:space="preserve">or (b)</w:t>
      </w:r>
      <w:r>
        <w:t>))</w:t>
      </w:r>
      <w:r>
        <w:rPr/>
        <w:t xml:space="preserve"> </w:t>
      </w:r>
      <w:r>
        <w:rPr>
          <w:u w:val="single"/>
        </w:rPr>
        <w:t xml:space="preserve">through (f)</w:t>
      </w:r>
      <w:r>
        <w:rPr/>
        <w:t xml:space="preserve">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w:t>
      </w:r>
      <w:r>
        <w:t>((</w:t>
      </w:r>
      <w:r>
        <w:rPr>
          <w:strike/>
        </w:rPr>
        <w:t xml:space="preserve">ASTM</w:t>
      </w:r>
      <w:r>
        <w:t>))</w:t>
      </w:r>
      <w:r>
        <w:rPr/>
        <w:t xml:space="preserve"> </w:t>
      </w:r>
      <w:r>
        <w:rPr>
          <w:u w:val="single"/>
        </w:rPr>
        <w:t xml:space="preserve">applicable</w:t>
      </w:r>
      <w:r>
        <w:rPr/>
        <w:t xml:space="preserve">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w:t>
      </w:r>
      <w:r>
        <w:t>((</w:t>
      </w:r>
      <w:r>
        <w:rPr>
          <w:strike/>
        </w:rPr>
        <w:t xml:space="preserve">ASTM</w:t>
      </w:r>
      <w:r>
        <w:t>))</w:t>
      </w:r>
      <w:r>
        <w:rPr/>
        <w:t xml:space="preserve"> </w:t>
      </w:r>
      <w:r>
        <w:rPr>
          <w:u w:val="single"/>
        </w:rPr>
        <w:t xml:space="preserve">applicable</w:t>
      </w:r>
      <w:r>
        <w:rPr/>
        <w:t xml:space="preserve">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on plastic film bags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on plastic film bags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or that are permit exempt</w:t>
      </w:r>
      <w:r>
        <w:rPr/>
        <w:t xml:space="preserve">, including transportation, equipment, spreading, and labor costs. </w:t>
      </w:r>
      <w:r>
        <w:rPr>
          <w:u w:val="single"/>
        </w:rPr>
        <w:t xml:space="preserve">Compost must meet the applicable requirements for compost established by the department of ecology under chapter 70A.205 RCW. The department must prioritize applicants who purchase and use compost containing food waste feedstocks, where it is practicable for the applicant to purchase and use compost containing food waste feedstocks.</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All meetings of the work group must be carried out in a virtual-only format.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An organization representing food producers;</w:t>
      </w:r>
    </w:p>
    <w:p>
      <w:pPr>
        <w:spacing w:before="0" w:after="0" w:line="408" w:lineRule="exact"/>
        <w:ind w:left="0" w:right="0" w:firstLine="576"/>
        <w:jc w:val="left"/>
      </w:pPr>
      <w:r>
        <w:rPr/>
        <w:t xml:space="preserve">(o) A technology company currently focused on food rescue in Washington; and</w:t>
      </w:r>
    </w:p>
    <w:p>
      <w:pPr>
        <w:spacing w:before="0" w:after="0" w:line="408" w:lineRule="exact"/>
        <w:ind w:left="0" w:right="0" w:firstLine="576"/>
        <w:jc w:val="left"/>
      </w:pPr>
      <w:r>
        <w:rPr/>
        <w:t xml:space="preserve">(p)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E2SHB 2301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03/01/2024</w:t>
      </w:r>
    </w:p>
    <w:p>
      <w:pPr>
        <w:spacing w:before="0" w:after="0" w:line="408" w:lineRule="exact"/>
        <w:ind w:left="0" w:right="0" w:firstLine="576"/>
        <w:jc w:val="left"/>
      </w:pPr>
      <w:r>
        <w:rPr/>
        <w:t xml:space="preserve">On page 1, line 3 of the title, after "systems;" strike the remainder of the title and insert "amending RCW 70A.207.020, 70A.214.100, 70A.205.540, 70A.205.545, 70A.455.040, 70A.455.070, 70A.455.090, 15.04.420, and 43.19A.150; adding new sections to chapter 70A.207 RCW; adding a new section to chapter 43.23 RCW; adding a new section to chapter 70A.455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54b98b2714f1e" /></Relationships>
</file>