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af82e85b147c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S1634.1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5054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4, after "</w:t>
      </w:r>
      <w:r>
        <w:rPr>
          <w:u w:val="single"/>
        </w:rPr>
        <w:t xml:space="preserve">section.</w:t>
      </w:r>
      <w:r>
        <w:rPr/>
        <w:t xml:space="preserve">" strike all material through "</w:t>
      </w:r>
      <w:r>
        <w:rPr>
          <w:u w:val="single"/>
        </w:rPr>
        <w:t xml:space="preserve">bargaining.</w:t>
      </w:r>
      <w:r>
        <w:rPr/>
        <w:t xml:space="preserve">" on line 9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that if a school district provides time for professional learning communities during the school day, the specific framework and characteristics must be established through collective bargaining.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3ea06152842ee" /></Relationships>
</file>