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f275c9e6844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S1246.1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5085</w:t>
      </w:r>
      <w:r>
        <w:t xml:space="preserve"> -</w:t>
      </w:r>
      <w:r>
        <w:t xml:space="preserve"> </w:t>
        <w:t xml:space="preserve">S AMD TO S AMD (S-1194.2/23)</w:t>
      </w:r>
      <w:r>
        <w:t xml:space="preserve"> </w:t>
      </w:r>
      <w:r>
        <w:rPr>
          <w:b/>
        </w:rPr>
        <w:t xml:space="preserve">133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1, after "</w:t>
      </w:r>
      <w:r>
        <w:rPr>
          <w:u w:val="single"/>
        </w:rPr>
        <w:t xml:space="preserve">a principal</w:t>
      </w:r>
      <w:r>
        <w:rPr/>
        <w:t xml:space="preserve">" strike "</w:t>
      </w:r>
      <w:r>
        <w:rPr>
          <w:u w:val="single"/>
        </w:rPr>
        <w:t xml:space="preserve">or assistant principal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2, after "</w:t>
      </w:r>
      <w:r>
        <w:rPr>
          <w:u w:val="single"/>
        </w:rPr>
        <w:t xml:space="preserve">position</w:t>
      </w:r>
      <w:r>
        <w:rPr/>
        <w:t xml:space="preserve">" strike "</w:t>
      </w:r>
      <w:r>
        <w:rPr>
          <w:u w:val="single"/>
        </w:rPr>
        <w:t xml:space="preserve">their</w:t>
      </w:r>
      <w:r>
        <w:rPr/>
        <w:t xml:space="preserve">" and insert "</w:t>
      </w:r>
      <w:r>
        <w:rPr>
          <w:u w:val="single"/>
        </w:rPr>
        <w:t xml:space="preserve">, the principal's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5, after "</w:t>
      </w:r>
      <w:r>
        <w:rPr>
          <w:u w:val="single"/>
        </w:rPr>
        <w:t xml:space="preserve">to</w:t>
      </w:r>
      <w:r>
        <w:rPr/>
        <w:t xml:space="preserve">" strike "</w:t>
      </w:r>
      <w:r>
        <w:rPr>
          <w:u w:val="single"/>
        </w:rPr>
        <w:t xml:space="preserve">their</w:t>
      </w:r>
      <w:r>
        <w:rPr/>
        <w:t xml:space="preserve">" and insert "</w:t>
      </w:r>
      <w:r>
        <w:rPr>
          <w:u w:val="single"/>
        </w:rPr>
        <w:t xml:space="preserve">the principal's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assistant principals from the provision that should a principal be transferred to a nonadministrative subordinate position, the principal's years of experience as an administrator shall count towards total years of experience as a Washington state certificated educator and be recognized or factored in relationship to the principal's next placement and salary.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afa6e8bee42ea" /></Relationships>
</file>