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a5cf05e6f4c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TRUD</w:t>
        </w:r>
      </w:r>
      <w:r>
        <w:rPr>
          <w:b/>
        </w:rPr>
        <w:t xml:space="preserve"> </w:t>
        <w:r>
          <w:rPr/>
          <w:t xml:space="preserve">S2037.1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Trudeau</w:t>
      </w:r>
    </w:p>
    <w:p>
      <w:pPr>
        <w:jc w:val="right"/>
      </w:pPr>
      <w:r>
        <w:rPr>
          <w:b/>
        </w:rPr>
        <w:t xml:space="preserve">ADOPTED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16, after "ages" strike "eighteen to twenty-one" and insert "</w:t>
      </w:r>
      <w:r>
        <w:t>((</w:t>
      </w:r>
      <w:r>
        <w:rPr>
          <w:strike/>
        </w:rPr>
        <w:t xml:space="preserve">eighteen to twenty-one</w:t>
      </w:r>
      <w:r>
        <w:t>))</w:t>
      </w:r>
      <w:r>
        <w:rPr/>
        <w:t xml:space="preserve"> </w:t>
      </w:r>
      <w:r>
        <w:rPr>
          <w:u w:val="single"/>
        </w:rPr>
        <w:t xml:space="preserve">18 to 21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17, after "</w:t>
      </w:r>
      <w:r>
        <w:rPr>
          <w:strike/>
        </w:rPr>
        <w:t xml:space="preserve">guardianship</w:t>
      </w:r>
      <w:r>
        <w:rPr/>
        <w:t xml:space="preserve">" strike "</w:t>
      </w:r>
      <w:r>
        <w:rPr>
          <w:strike/>
        </w:rPr>
        <w:t xml:space="preserve">at age sixteen or older</w:t>
      </w:r>
      <w:r>
        <w:t>))</w:t>
      </w:r>
      <w:r>
        <w:rPr/>
        <w:t xml:space="preserve">" and insert ")) at age </w:t>
      </w:r>
      <w:r>
        <w:t>((</w:t>
      </w:r>
      <w:r>
        <w:rPr>
          <w:strike/>
        </w:rPr>
        <w:t xml:space="preserve">sixteen</w:t>
      </w:r>
      <w:r>
        <w:t>))</w:t>
      </w:r>
      <w:r>
        <w:rPr/>
        <w:t xml:space="preserve"> </w:t>
      </w:r>
      <w:r>
        <w:rPr>
          <w:u w:val="single"/>
        </w:rPr>
        <w:t xml:space="preserve">16</w:t>
      </w:r>
      <w:r>
        <w:rPr/>
        <w:t xml:space="preserve"> or older"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current law. Adoption support benefits can be provided on behalf of youth ages 18-21 who achieved permanency through adoption at age 16 or older. Technical correction.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9a7cc0e624559" /></Relationships>
</file>