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e1e2e01504d7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5174-S2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S1938.1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ADOPTED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"expenditures" strike "attributable to serving special passengers exceeds" and insert "exceed"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"RCW" strike "28A.160.180" and insert "28A.160.150 through 28A.160.192"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"agencies." insert "A transportation safety net award may not exceed a school district's excess expenditures directly attributable to serving special passengers in the pupil transportation program."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Provides that transportation safety net awards may only be provided when a school district's allowable transportation expenditures exceed student transportation allocations and any excess transportation costs reimbursed by child welfare agencies.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Provides that a transportation safety net award may not exceed a school district's excess expenditures directly attributable to serving special passengers in the pupil transportation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e2c88762f45d8" /></Relationships>
</file>