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d64a16a39549a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5175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MCCU</w:t>
        </w:r>
      </w:r>
      <w:r>
        <w:rPr>
          <w:b/>
        </w:rPr>
        <w:t xml:space="preserve"> </w:t>
        <w:r>
          <w:rPr/>
          <w:t xml:space="preserve">S2106.1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5175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170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McCune</w:t>
      </w:r>
    </w:p>
    <w:p>
      <w:pPr>
        <w:jc w:val="right"/>
      </w:pPr>
      <w:r>
        <w:rPr>
          <w:b/>
        </w:rPr>
        <w:t xml:space="preserve">ADOPTED 03/08/2023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8, after "</w:t>
      </w:r>
      <w:r>
        <w:rPr>
          <w:u w:val="single"/>
        </w:rPr>
        <w:t xml:space="preserve">years</w:t>
      </w:r>
      <w:r>
        <w:rPr/>
        <w:t xml:space="preserve">" insert "</w:t>
      </w:r>
      <w:r>
        <w:rPr>
          <w:u w:val="single"/>
        </w:rPr>
        <w:t xml:space="preserve">and is contingent upon the successful completion of an updated record check under RCW 28A.400.303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that a written contract made by a board with a principal be contingent upon the successful completion of an updated record check.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1faf20455e4485" /></Relationships>
</file>