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aa5649ab84fe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S1951.2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21, after "until" strike all material through "</w:t>
      </w:r>
      <w:r>
        <w:rPr>
          <w:u w:val="single"/>
        </w:rPr>
        <w:t xml:space="preserve">restitution</w:t>
      </w:r>
      <w:r>
        <w:rPr/>
        <w:t xml:space="preserve">" on line 23 and insert "five court days have expired after entry of the judgment</w:t>
      </w:r>
      <w:r>
        <w:rPr>
          <w:u w:val="single"/>
        </w:rPr>
        <w:t xml:space="preserve">, unless the tenant provides a pledge of financial assistance letter from a government or nonprofit entity, in which case the tenant has until the date of eviction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14, strike all material through "</w:t>
      </w:r>
      <w:r>
        <w:rPr>
          <w:strike/>
        </w:rPr>
        <w:t xml:space="preserve">application</w:t>
      </w:r>
      <w:r>
        <w:rPr/>
        <w:t xml:space="preserve">))" and insert "within </w:t>
      </w:r>
      <w:r>
        <w:t>((</w:t>
      </w:r>
      <w:r>
        <w:rPr>
          <w:strike/>
        </w:rPr>
        <w:t xml:space="preserve">thirty</w:t>
      </w:r>
      <w:r>
        <w:t>))</w:t>
      </w:r>
      <w:r>
        <w:rPr/>
        <w:t xml:space="preserve"> </w:t>
      </w:r>
      <w:r>
        <w:rPr>
          <w:u w:val="single"/>
        </w:rPr>
        <w:t xml:space="preserve">30</w:t>
      </w:r>
      <w:r>
        <w:rPr/>
        <w:t xml:space="preserve"> days from submission of the application"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Restores, to current law, the time period in which a tenant may pay any outstanding amounts owed in order to restore a tenancy, unless the tenant provides a pledge of financial assistance letter from a government or nonprofit entity, in which case the tenant has up until the date of eviction to pay. Restores the 30-day time limit by which the department of commerce must disburse payment to the landlord for the judgment through the landlord mitigation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f66230dcd4f1a" /></Relationships>
</file>