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7de7fcfc5145c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5217-S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BRAU</w:t>
        </w:r>
      </w:r>
      <w:r>
        <w:rPr>
          <w:b/>
        </w:rPr>
        <w:t xml:space="preserve"> </w:t>
        <w:r>
          <w:rPr/>
          <w:t xml:space="preserve">S2018.1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5217</w:t>
      </w:r>
      <w:r>
        <w:t xml:space="preserve"> -</w:t>
      </w:r>
      <w:r>
        <w:t xml:space="preserve"> </w:t>
        <w:t xml:space="preserve">S AMD TO S AMD (S-1922.4/23)</w:t>
      </w:r>
      <w:r>
        <w:t xml:space="preserve"> </w:t>
      </w:r>
      <w:r>
        <w:rPr>
          <w:b/>
        </w:rPr>
        <w:t xml:space="preserve">105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Braun</w:t>
      </w:r>
    </w:p>
    <w:p>
      <w:pPr>
        <w:jc w:val="right"/>
      </w:pPr>
      <w:r>
        <w:rPr>
          <w:b/>
        </w:rPr>
        <w:t xml:space="preserve">NOT ADOPTED 03/01/2023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after line 16,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"(4) Rules providing standards may not be generally applied and may only be adopted for specific jobs, processes, or operations of work activity within an industry or risk classification."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that rules may not be generally applied and may only be adopted for specific jobs, processes, or operations of work activity within an industry or risk classification.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aa02dc71454674" /></Relationships>
</file>