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2c674ae59b45c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5241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CLEV</w:t>
        </w:r>
      </w:r>
      <w:r>
        <w:rPr>
          <w:b/>
        </w:rPr>
        <w:t xml:space="preserve"> </w:t>
        <w:r>
          <w:rPr/>
          <w:t xml:space="preserve">S4934.2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SB 5241</w:t>
      </w:r>
      <w:r>
        <w:t xml:space="preserve"> -</w:t>
      </w:r>
      <w:r>
        <w:t xml:space="preserve"> </w:t>
        <w:t xml:space="preserve">S AMD TO S AMD (S-4880.1/24)</w:t>
      </w:r>
      <w:r>
        <w:t xml:space="preserve"> </w:t>
      </w:r>
      <w:r>
        <w:rPr>
          <w:b/>
        </w:rPr>
        <w:t xml:space="preserve">584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Cleveland</w:t>
      </w:r>
    </w:p>
    <w:p>
      <w:pPr>
        <w:jc w:val="right"/>
      </w:pPr>
      <w:r>
        <w:rPr>
          <w:b/>
        </w:rPr>
        <w:t xml:space="preserve">NOT ADOPTED 02/08/2024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38, after "</w:t>
      </w:r>
      <w:r>
        <w:rPr>
          <w:u w:val="single"/>
        </w:rPr>
        <w:t xml:space="preserve">(3)</w:t>
      </w:r>
      <w:r>
        <w:rPr/>
        <w:t xml:space="preserve">" insert "</w:t>
      </w:r>
      <w:r>
        <w:rPr>
          <w:u w:val="single"/>
        </w:rPr>
        <w:t xml:space="preserve">For material change transactions where none of the parties are hospitals or hospital systems or an affiliate of a hospital or hospital system, and the material change transaction would not result in: Reducing access to health services, including reproductive health care services, end-of-life care services, and gender-affirming health care services, if appropriate; worsening health care outcomes; and increasing consumers' health care costs; the written notice provided by the parties, as required by RCW 19.390.030, must include: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The information and documentation required under subsection (1)(a) through (d) of this section; and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Documentation describing how the parties will address health care access, outcomes, and costs and how the material change transaction will likely impact the delivery and cost of health-related services to the community and help to address health inequities.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(4)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subsections consecutively and correct any internal references accordingly.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Reduces the written notice requirements where none of the parties are hospitals, hospital systems, or an affiliate of a hospital or hospital system, and the material change transaction would not result in reducing access, worsening health care outcomes, and increasing consumer health costs.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841e89263f4193" /></Relationships>
</file>