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08ba5dac342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S4919.1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5241</w:t>
      </w:r>
      <w:r>
        <w:t xml:space="preserve"> -</w:t>
      </w:r>
      <w:r>
        <w:t xml:space="preserve"> </w:t>
        <w:t xml:space="preserve">S AMD TO S AMD (S-4880.1/24)</w:t>
      </w:r>
      <w:r>
        <w:t xml:space="preserve"> </w:t>
      </w:r>
      <w:r>
        <w:rPr>
          <w:b/>
        </w:rPr>
        <w:t xml:space="preserve">610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02/08/2024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38, after "</w:t>
      </w:r>
      <w:r>
        <w:rPr>
          <w:u w:val="single"/>
        </w:rPr>
        <w:t xml:space="preserve">(3)</w:t>
      </w:r>
      <w:r>
        <w:rPr/>
        <w:t xml:space="preserve">"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and 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2, after "</w:t>
      </w:r>
      <w:r>
        <w:rPr>
          <w:u w:val="single"/>
        </w:rPr>
        <w:t xml:space="preserve">include</w:t>
      </w:r>
      <w:r>
        <w:rPr/>
        <w:t xml:space="preserve">" insert "</w:t>
      </w:r>
      <w:r>
        <w:rPr>
          <w:u w:val="single"/>
        </w:rPr>
        <w:t xml:space="preserve">the following information, unless the attorney general and parties agree to narrow the scope of information needed relevant to the material change transaction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When documents are available from a publicly available source, the parties may indicate the public availability to the attorney general rather than providing the documents directly.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Attorney General's Office to access publicly available documents from the public source, rather than requiring the parties to a material change transaction to provide those documents.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Allows the Attorney General's Office and the parties to a material change transaction to agree to narrow the scope of information needed based on relevancy to the transaction.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2f641f3b0465b" /></Relationships>
</file>