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d9d284a94f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S4659.2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604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4, after "general" strike all material through "RCW and" on line 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attorney general rule-making authority for implementation of chapter 19.390 RCW; preserves ability for the attorney general to contract with and provide reasonable reimbursement to qualified persons to assist in compliance work.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1f289eb094977" /></Relationships>
</file>