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47814504745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S2134.1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C. Wilson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</w:t>
      </w:r>
      <w:r>
        <w:rPr>
          <w:u w:val="single"/>
        </w:rPr>
        <w:t xml:space="preserve">competencies;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</w:t>
      </w:r>
      <w:r>
        <w:rPr>
          <w:u w:val="single"/>
        </w:rPr>
        <w:t xml:space="preserve">(vii)</w:t>
      </w:r>
      <w:r>
        <w:rPr/>
        <w:t xml:space="preserve">" strike all material through "</w:t>
      </w:r>
      <w:r>
        <w:rPr>
          <w:u w:val="single"/>
        </w:rPr>
        <w:t xml:space="preserve">(viii)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</w:t>
      </w:r>
      <w:r>
        <w:rPr>
          <w:u w:val="single"/>
        </w:rPr>
        <w:t xml:space="preserve">requirements;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32, after "</w:t>
      </w:r>
      <w:r>
        <w:rPr>
          <w:u w:val="single"/>
        </w:rPr>
        <w:t xml:space="preserve">diploma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Provided at least the minimum instructional hours and days required under RCW 28A.150.220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school district is responsible for ensuring that a student served by a nonpublic agency is provided with at least the minimum instructional hours and days required by statute, rather than including this requirement as a component of nonpublic agency approval.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09bcce99c4666" /></Relationships>
</file>