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5efc298d8421f" /></Relationships>
</file>

<file path=word/document.xml><?xml version="1.0" encoding="utf-8"?>
<w:document xmlns:w="http://schemas.openxmlformats.org/wordprocessingml/2006/main">
  <w:body>
    <w:p>
      <w:r>
        <w:rPr>
          <w:b/>
        </w:rPr>
        <w:r>
          <w:rPr/>
          <w:t xml:space="preserve">5536-S2.E</w:t>
        </w:r>
      </w:r>
      <w:r>
        <w:rPr>
          <w:b/>
        </w:rPr>
        <w:t xml:space="preserve"> </w:t>
        <w:t xml:space="preserve">AMC</w:t>
      </w:r>
      <w:r>
        <w:rPr>
          <w:b/>
        </w:rPr>
        <w:t xml:space="preserve"> </w:t>
        <w:r>
          <w:rPr/>
          <w:t xml:space="preserve">CONF</w:t>
        </w:r>
      </w:r>
      <w:r>
        <w:rPr>
          <w:b/>
        </w:rPr>
        <w:t xml:space="preserve"> </w:t>
        <w:r>
          <w:rPr/>
          <w:t xml:space="preserve">H1994.4</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04/23/2023; SENATE NOT CONSIDERED 05/16/2023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possess and use a counterfeit substance in a public place by injection, inhalation, ingestion, or any other means</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(4)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possess and use a controlled substance in a public place by injection, inhalation, ingestion, or any other means,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possess and use any legend drug in a public place by injection, inhalation, ingestion, or any other means,</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possession and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In lieu of jail booking and referral to the prosecutor for a violation of this section involving knowing possession, or knowing possession and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drug paraphernalia regulation within the boundaries of the state including regulation of the use, selling, giving, delivery, and possession of drug paraphernalia, except as provided in subsection (2) of this section.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0" w:after="0" w:line="408" w:lineRule="exact"/>
        <w:ind w:left="0" w:right="0" w:firstLine="576"/>
        <w:jc w:val="left"/>
      </w:pPr>
      <w:r>
        <w:rPr/>
        <w:t xml:space="preserve">(2) Nothing in this chapter shall be construed to prohibit cities, towns, and counties, or other municipalities, from enacting laws or ordinances relating to public hearing or notice requirements for the establishment of a public health program, community-based HIV prevention program, or outreach, shelter, and housing program facilities or the operation of such program facilities, provided that such laws or ordinances are otherwise consistent with all applicable state law and consistent with or approved by local public health policies.</w:t>
      </w:r>
    </w:p>
    <w:p>
      <w:pPr>
        <w:spacing w:before="240" w:after="0" w:line="408" w:lineRule="exact"/>
        <w:ind w:left="0" w:right="0" w:firstLine="576"/>
        <w:jc w:val="center"/>
      </w:pPr>
      <w:r>
        <w:rPr>
          <w:b/>
        </w:rPr>
        <w:t xml:space="preserve">Part III - Providing Opportunities for Pretrial Diversion Pursuant to RCW 71.24.115, 36.28A.450, and 71.24.589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including, but not limited to, a stipulated order of continuance or deferred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In any jurisdiction with a recovery navigator program established under RCW 71.24.115, an arrest and jail alternative program established under RCW 36.28A.450, or a law enforcement assisted diversion program established under RCW 71.24.589,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(c) The prosecuting attorney is strongly encouraged to agree to pretrial diversion options in any case where the defendant is only charged with a violation of RCW 69.50.4011(1) (b) or (c), 69.50.4013, 69.50.4014, or 69.41.030(2) (b) or (c).</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authority of the probation department, the prosecuting attorney, the recovery navigator program under RCW 71.24.115, arrest and jail alternative program under RCW 36.28A.450, or law enforcement assisted diversion program under RCW 71.24.589,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 If the court grants the defendant's motion to participate in pretrial diversion under this section, the recovery navigator program established under RCW 71.24.115, the arrest and jail alternative program established under RCW 36.28A.450, or the law enforcement assisted diversion program established under RCW 71.24.589, shall provide the court written confirmation of completion of the assessment and a statement indicating the defendant's enrollment or referral to any specific service or program. The confirmation and statement of the recovery navigator program established under RCW 71.24.115, the arrest and jail alternative program established under RCW 36.28A.450, or the law enforcement assisted diversion program established under RCW 71.24.589 shall be filed under seal with the court, and a copy shall be given to the prosecuting attorney, defendant, and defendant's counsel. The confirmation and statement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assessment and recommended treatment or services must be provided at no cost for defendants who have been found to be indigent by the court.</w:t>
      </w:r>
    </w:p>
    <w:p>
      <w:pPr>
        <w:spacing w:before="0" w:after="0" w:line="408" w:lineRule="exact"/>
        <w:ind w:left="0" w:right="0" w:firstLine="576"/>
        <w:jc w:val="left"/>
      </w:pPr>
      <w:r>
        <w:rPr/>
        <w:t xml:space="preserve">(6) If the assessment conducted by the recovery navigator program established under RCW 71.24.115, the arrest and jail alternative program established under RCW 36.28A.450, or the law enforcement assisted diversion program established under RCW 71.24.589 includes a referral to any treatment or services, the recovery navigator program established under RCW 71.24.115, the arrest and jail alternative program established under RCW 36.28A.450, the law enforcement assisted diversion program established under RCW 71.24.589, or service provider shall provide the court with regular written status updates on the defendant's progress on a schedule acceptable to the court. The updates must be provided at least monthly and be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(7) If the assessment conducted by the recovery navigator program established under RCW 71.24.115, the arrest and jail alternative program established under RCW 36.28A.450, or the law enforcement assisted diversion program established under RCW 71.24.589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(8) Admissions made by the individual in the course of receiving services from the recovery navigator program established under RCW 71.24.115, the arrest and jail alternative program established under RCW 36.28A.450, or the law enforcement assisted diversion program established under RCW 71.24.589 may not be used against the individual in the prosecution's case in chief.</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If it appears to the prosecuting attorney that the defendant is not substantially complying with the recommended treatment or services as reflected by a written status update, the prosecuting attorney may make a motion for termination from pretrial diversion.</w:t>
      </w:r>
    </w:p>
    <w:p>
      <w:pPr>
        <w:spacing w:before="0" w:after="0" w:line="408" w:lineRule="exact"/>
        <w:ind w:left="0" w:right="0" w:firstLine="576"/>
        <w:jc w:val="left"/>
      </w:pPr>
      <w:r>
        <w:rPr/>
        <w:t xml:space="preserve">(a) After notice to the defendant, the court must hold a hearing to determine whether pretrial diversion shall be terminated.</w:t>
      </w:r>
    </w:p>
    <w:p>
      <w:pPr>
        <w:spacing w:before="0" w:after="0" w:line="408" w:lineRule="exact"/>
        <w:ind w:left="0" w:right="0" w:firstLine="576"/>
        <w:jc w:val="left"/>
      </w:pPr>
      <w:r>
        <w:rPr/>
        <w:t xml:space="preserve">(b) Before the hearing, the defendant and the defendant's counsel shall be advised of the nature of the alleged noncompliance and provided discovery of evidence supporting the allegation, including names and contact information of witnesses.</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 and</w:t>
      </w:r>
    </w:p>
    <w:p>
      <w:pPr>
        <w:spacing w:before="0" w:after="0" w:line="408" w:lineRule="exact"/>
        <w:ind w:left="0" w:right="0" w:firstLine="576"/>
        <w:jc w:val="left"/>
      </w:pPr>
      <w:r>
        <w:rPr/>
        <w:t xml:space="preserve">(ii)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If the court finds the defendant is not substantially complying with the recommended treatment or services and thereafter terminates pretrial diversion, it shall state the grounds for its decision succinctly in the record and provide the prosecuting attorney, the defendant, and the defendant's counsel with a written order.</w:t>
      </w:r>
    </w:p>
    <w:p>
      <w:pPr>
        <w:spacing w:before="0" w:after="0" w:line="408" w:lineRule="exact"/>
        <w:ind w:left="0" w:right="0" w:firstLine="576"/>
        <w:jc w:val="left"/>
      </w:pPr>
      <w:r>
        <w:rPr/>
        <w:t xml:space="preserve">(11)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assessment prepared by the recovery navigator program, arrest and jail alternative program, or law enforcement assisted diversion program included a recommendation for treatment or services, the defendant successfully completes pretrial diversion either by having 12 months of substantial compliance with the assessment and recommended treatment or services and progress toward recovery goals as reflected by the written status updates or by successfully completing the recommended treatment or services, whichever occurs first; or</w:t>
      </w:r>
    </w:p>
    <w:p>
      <w:pPr>
        <w:spacing w:before="0" w:after="0" w:line="408" w:lineRule="exact"/>
        <w:ind w:left="0" w:right="0" w:firstLine="576"/>
        <w:jc w:val="left"/>
      </w:pPr>
      <w:r>
        <w:rPr/>
        <w:t xml:space="preserve">(b) If the assessment prepared by the recovery navigator program, arrest and jail alternative program, or law enforcement assisted diversion program did not include a recommendation for treatment or services, the defendant successfully completes pretrial diversion by completing the community service described in subsection (7) of this section and submitting proof of completion to the court.</w:t>
      </w:r>
    </w:p>
    <w:p>
      <w:pPr>
        <w:spacing w:before="0" w:after="0" w:line="408" w:lineRule="exact"/>
        <w:ind w:left="0" w:right="0" w:firstLine="576"/>
        <w:jc w:val="left"/>
      </w:pPr>
      <w:r>
        <w:rPr/>
        <w:t xml:space="preserve">(12) Beginning January 1, 2025, the recovery navigator programs established under RCW 71.24.115, arrest and jail alternative programs established under RCW 36.28A.450, and law enforcement assisted diversion programs established under RCW 71.24.589 shall input data and information in the data integration platform under section 22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or was successfully completed and resulted in a dismissal;</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When sentencing an individual for a violation of RCW 69.50.4011(1) (b) or (c), 69.50.4013, 69.50.4014, or 69.41.030(2) (b) or (c), the court is encouraged to utilize any other resolution of the charges or terms of supervision that suit the circumstances of the defendant's situation and advance stabilization, recovery, crime reduction, and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w:t>
      </w:r>
      <w:r>
        <w:rPr>
          <w:u w:val="single"/>
        </w:rPr>
        <w:t xml:space="preserve">A mobile or fixed-site medication unit may be established as part of a licensed opioid treatment program.</w:t>
      </w:r>
    </w:p>
    <w:p>
      <w:pPr>
        <w:spacing w:before="0" w:after="0" w:line="408" w:lineRule="exact"/>
        <w:ind w:left="0" w:right="0" w:firstLine="576"/>
        <w:jc w:val="left"/>
      </w:pPr>
      <w:r>
        <w:rPr>
          <w:u w:val="single"/>
        </w:rPr>
        <w:t xml:space="preserve">(8)</w:t>
      </w:r>
      <w:r>
        <w:rPr/>
        <w:t xml:space="preserve">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18, chapter . . ., Laws of 2023 (section 18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18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18 of this act;</w:t>
      </w:r>
    </w:p>
    <w:p>
      <w:pPr>
        <w:spacing w:before="0" w:after="0" w:line="408" w:lineRule="exact"/>
        <w:ind w:left="0" w:right="0" w:firstLine="576"/>
        <w:jc w:val="left"/>
      </w:pPr>
      <w:r>
        <w:rPr/>
        <w:t xml:space="preserve">(b) The amount of annual property tax relief resulting from the tax exemption under section 18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18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18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18 of this act.</w:t>
      </w:r>
    </w:p>
    <w:p>
      <w:pPr>
        <w:spacing w:before="0" w:after="0" w:line="408" w:lineRule="exact"/>
        <w:ind w:left="0" w:right="0" w:firstLine="576"/>
        <w:jc w:val="left"/>
      </w:pPr>
      <w:r>
        <w:rPr/>
        <w:t xml:space="preserve">(5) The legislature intends to extend the expiration date of the property tax exemption under section 18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18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18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18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18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18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implement a data integration platform by June 30, 2025,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w:t>
      </w:r>
      <w:r>
        <w:t>((</w:t>
      </w:r>
      <w:r>
        <w:rPr>
          <w:strike/>
        </w:rPr>
        <w:t xml:space="preserve">and</w:t>
      </w:r>
      <w:r>
        <w:t>))</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r>
        <w:rPr>
          <w:u w:val="single"/>
        </w:rPr>
        <w:t xml:space="preserve">; and</w:t>
      </w:r>
    </w:p>
    <w:p>
      <w:pPr>
        <w:spacing w:before="0" w:after="0" w:line="408" w:lineRule="exact"/>
        <w:ind w:left="0" w:right="0" w:firstLine="576"/>
        <w:jc w:val="left"/>
      </w:pPr>
      <w:r>
        <w:rPr>
          <w:u w:val="single"/>
        </w:rPr>
        <w:t xml:space="preserve">(m) Data submitted to the data integration platform under section 22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programs under RCW 71.24.115 and law enforcement assisted diversion programs under RCW 71.24.589 implemented in Washington state, with reports due by June 30, 2028, June 30, 2033, and June 30, 2038, and an assessment as described under subsection (2) of this section. The Washington state institute for public policy shall collaborate with the authority and the substance use recovery services advisory committee under RCW 71.24.546 on the topic of data collection and to determine the parameters of the report, which shall include:</w:t>
      </w:r>
    </w:p>
    <w:p>
      <w:pPr>
        <w:spacing w:before="0" w:after="0" w:line="408" w:lineRule="exact"/>
        <w:ind w:left="0" w:right="0" w:firstLine="576"/>
        <w:jc w:val="left"/>
      </w:pPr>
      <w:r>
        <w:rPr/>
        <w:t xml:space="preserve">(a) Recidivism rates for recovery navigator and law enforcement assisted diversion program participants, including a comparison between individuals who did and did not use the pretrial diversion program under section 9 of this act, and outcomes for these individuals;</w:t>
      </w:r>
    </w:p>
    <w:p>
      <w:pPr>
        <w:spacing w:before="0" w:after="0" w:line="408" w:lineRule="exact"/>
        <w:ind w:left="0" w:right="0" w:firstLine="576"/>
        <w:jc w:val="left"/>
      </w:pPr>
      <w:r>
        <w:rPr/>
        <w:t xml:space="preserve">(b) Trends or disparities in utilization of the recovery navigator and LEAD programs and outcomes based on race, ethnicity, gender, gender expression or identity, disability status, age, and other appropriate characteristics; and</w:t>
      </w:r>
    </w:p>
    <w:p>
      <w:pPr>
        <w:spacing w:before="0" w:after="0" w:line="408" w:lineRule="exact"/>
        <w:ind w:left="0" w:right="0" w:firstLine="576"/>
        <w:jc w:val="left"/>
      </w:pPr>
      <w:r>
        <w:rPr/>
        <w:t xml:space="preserve">(c) Recommendations, if any, for modification and improvement of the recovery navigator program or law enforcement assisted diversion programs.</w:t>
      </w:r>
    </w:p>
    <w:p>
      <w:pPr>
        <w:spacing w:before="0" w:after="0" w:line="408" w:lineRule="exact"/>
        <w:ind w:left="0" w:right="0" w:firstLine="576"/>
        <w:jc w:val="left"/>
      </w:pPr>
      <w:r>
        <w:rPr/>
        <w:t xml:space="preserve">(2)(a) The Washington state institute for public policy shall, in consultation with the authority and other key stakeholders, conduct a descriptive assessment of the current status of statewide recovery navigator programs and the degree to which the implementation of these programs reflects fidelity to the core principles of the law enforcement assisted diversion program as established by the law enforcement assisted diversion national support bureau in its toolkit as it existed on May 1, 2023, which shall include:</w:t>
      </w:r>
    </w:p>
    <w:p>
      <w:pPr>
        <w:spacing w:before="0" w:after="0" w:line="408" w:lineRule="exact"/>
        <w:ind w:left="0" w:right="0" w:firstLine="576"/>
        <w:jc w:val="left"/>
      </w:pPr>
      <w:r>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t xml:space="preserve">(iii) Barriers to achieving fidelity to core principles.</w:t>
      </w:r>
    </w:p>
    <w:p>
      <w:pPr>
        <w:spacing w:before="0" w:after="0" w:line="408" w:lineRule="exact"/>
        <w:ind w:left="0" w:right="0" w:firstLine="576"/>
        <w:jc w:val="left"/>
      </w:pPr>
      <w:r>
        <w:rPr/>
        <w:t xml:space="preserve">(b) The report shall also describe law enforcement assisted diversion programs in Washington state that are not affiliated with recovery navigator programs.</w:t>
      </w:r>
    </w:p>
    <w:p>
      <w:pPr>
        <w:spacing w:before="0" w:after="0" w:line="408" w:lineRule="exact"/>
        <w:ind w:left="0" w:right="0" w:firstLine="576"/>
        <w:jc w:val="left"/>
      </w:pPr>
      <w:r>
        <w:rPr/>
        <w:t xml:space="preserve">(c) The report may include recommendations for changes to recovery navigator programs reported by recovery navigator program administrators, stakeholders, or participants.</w:t>
      </w:r>
    </w:p>
    <w:p>
      <w:pPr>
        <w:spacing w:before="0" w:after="0" w:line="408" w:lineRule="exact"/>
        <w:ind w:left="0" w:right="0" w:firstLine="576"/>
        <w:jc w:val="left"/>
      </w:pPr>
      <w:r>
        <w:rPr/>
        <w:t xml:space="preserve">(d) The authority, behavioral health administrative services organizations, and other recovery navigator program administrators shall cooperate with the institute in making this assessment.</w:t>
      </w:r>
    </w:p>
    <w:p>
      <w:pPr>
        <w:spacing w:before="0" w:after="0" w:line="408" w:lineRule="exact"/>
        <w:ind w:left="0" w:right="0" w:firstLine="576"/>
        <w:jc w:val="left"/>
      </w:pPr>
      <w:r>
        <w:rPr/>
        <w:t xml:space="preserve">(e) The institute shall submit this assessment to the governor and relevant committees of the legislature by June 30, 2024.</w:t>
      </w:r>
    </w:p>
    <w:p>
      <w:pPr>
        <w:spacing w:before="0" w:after="0" w:line="408" w:lineRule="exact"/>
        <w:ind w:left="0" w:right="0" w:firstLine="576"/>
        <w:jc w:val="left"/>
      </w:pPr>
      <w:r>
        <w:rPr/>
        <w:t xml:space="preserve">(3) The authority shall cooperate with the Washington state institute for public policy to provide data for the assessment and reports under this section.</w:t>
      </w:r>
    </w:p>
    <w:p>
      <w:pPr>
        <w:spacing w:before="0" w:after="0" w:line="408" w:lineRule="exact"/>
        <w:ind w:left="0" w:right="0" w:firstLine="576"/>
        <w:jc w:val="left"/>
      </w:pPr>
      <w:r>
        <w:rPr/>
        <w:t xml:space="preserve">(4) The authority must establish an expedited preapproval process by August 1, 2023, that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June 30, 2024,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May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p>
    <w:p>
      <w:pPr>
        <w:spacing w:before="0" w:after="0" w:line="408" w:lineRule="exact"/>
        <w:ind w:left="0" w:right="0" w:firstLine="576"/>
        <w:jc w:val="left"/>
      </w:pPr>
      <w:r>
        <w:rPr/>
        <w:t xml:space="preserve">(3) A health engagement hub is intended to:</w:t>
      </w:r>
    </w:p>
    <w:p>
      <w:pPr>
        <w:spacing w:before="0" w:after="0" w:line="408" w:lineRule="exact"/>
        <w:ind w:left="0" w:right="0" w:firstLine="576"/>
        <w:jc w:val="left"/>
      </w:pPr>
      <w:r>
        <w:rPr/>
        <w:t xml:space="preserve">(a) Serve as an all-in-one location where people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w:t>
      </w:r>
    </w:p>
    <w:p>
      <w:pPr>
        <w:spacing w:before="0" w:after="0" w:line="408" w:lineRule="exact"/>
        <w:ind w:left="0" w:right="0" w:firstLine="576"/>
        <w:jc w:val="left"/>
      </w:pPr>
      <w:r>
        <w:rPr/>
        <w:t xml:space="preserve">(f) Provide linkage to housing, transportation, and other support services; and</w:t>
      </w:r>
    </w:p>
    <w:p>
      <w:pPr>
        <w:spacing w:before="0" w:after="0" w:line="408" w:lineRule="exact"/>
        <w:ind w:left="0" w:right="0" w:firstLine="576"/>
        <w:jc w:val="left"/>
      </w:pPr>
      <w:r>
        <w:rPr/>
        <w:t xml:space="preserve">(g) Be open to youth as well as adults.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$47,000 from the state general fund-local for the fiscal biennium ending June 30, 2025; and $13,000 from the health professions account for the fiscal biennium ending June 30, 2025. The amounts in this section are provided solely for the department of health to adopt rules related to mobile medication units and conduct inspections for such units under RCW 71.24.590.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revenue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$594,000 from the state general fund for the fiscal year ending June 30, 2024; and $140,000 from the state general fund for the fiscal year ending June 30, 2025. The amounts in this section are provided solely for the department of revenue to administer the recovery residence tax exemption created in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joint legislative audit and review committee and is subject to the following conditions and limitations:</w:t>
      </w:r>
    </w:p>
    <w:p>
      <w:pPr>
        <w:spacing w:before="0" w:after="0" w:line="408" w:lineRule="exact"/>
        <w:ind w:left="0" w:right="0" w:firstLine="576"/>
        <w:jc w:val="left"/>
      </w:pPr>
      <w:r>
        <w:rPr/>
        <w:t xml:space="preserve">The sum of $23,000, or as much thereof as may be necessary, is appropriated for the fiscal biennium ending June 30, 2025, from the performance audits of government account. The amount in this section is provided solely for the purposes of conducting a tax preference review of the property tax exemption for recovery residences under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Washington state patrol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$813,000 from the state general fund for the fiscal year ending June 30, 2024; and $450,000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sum of $3,600,000, or as much thereof as may be necessary, is appropriated for the fiscal biennium ending June 30, 2025, from the opioid abatement settlement account. The amount in this subsection is provided solely for the purposes of maintaining a memorandum of understanding with the criminal justice training commission to provide ongoing funding for community grants under RCW 36.28A.450.</w:t>
      </w:r>
    </w:p>
    <w:p>
      <w:pPr>
        <w:spacing w:before="0" w:after="0" w:line="408" w:lineRule="exact"/>
        <w:ind w:left="0" w:right="0" w:firstLine="576"/>
        <w:jc w:val="left"/>
      </w:pPr>
      <w:r>
        <w:rPr/>
        <w:t xml:space="preserve">(2) The following sums, or so much thereof as may be necessary, are each appropriated: $3,783,000 from the opioid abatement settlement account for the fiscal biennium ending June 30, 2025; and $3,810,000 from the general fund-federal for the fiscal biennium ending June 30, 2025. The amounts in this subsection are provided solely for the administration of this act.</w:t>
      </w:r>
    </w:p>
    <w:p>
      <w:pPr>
        <w:spacing w:before="0" w:after="0" w:line="408" w:lineRule="exact"/>
        <w:ind w:left="0" w:right="0" w:firstLine="576"/>
        <w:jc w:val="left"/>
      </w:pPr>
      <w:r>
        <w:rPr/>
        <w:t xml:space="preserve">(3)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(4) The sum of $4,000,000, or as much thereof as may be necessary, is appropriated for the fiscal biennium ending June 30, 2025, from the opioid abatement settlement account. The amount in this subsection is provided solely for the authority to establish a health engagement hub pilot program to include both urban and rural locations under section 26 of this act.</w:t>
      </w:r>
    </w:p>
    <w:p>
      <w:pPr>
        <w:spacing w:before="0" w:after="0" w:line="408" w:lineRule="exact"/>
        <w:ind w:left="0" w:right="0" w:firstLine="576"/>
        <w:jc w:val="left"/>
      </w:pPr>
      <w:r>
        <w:rPr/>
        <w:t xml:space="preserve">(5) The sum of $3,768,000, or as much thereof as may be necessary, is appropriated for the fiscal biennium ending June 30, 2025, from the opioid abatement settlement account. The amount in this subsection is provided solely for the authority to increase the number of mobile methadone units operated by existing opioid treatment providers, increase the number of opioid treatment provider fixed medication units operated by existing opioid treatment providers, and to expand opioid treatment programs with a prioritization for rural areas.</w:t>
      </w:r>
    </w:p>
    <w:p>
      <w:pPr>
        <w:spacing w:before="0" w:after="0" w:line="408" w:lineRule="exact"/>
        <w:ind w:left="0" w:right="0" w:firstLine="576"/>
        <w:jc w:val="left"/>
      </w:pPr>
      <w:r>
        <w:rPr/>
        <w:t xml:space="preserve">(6) The sum of $5,242,000, or as much thereof as may be necessary, is appropriated for the fiscal biennium ending June 30, 2025, from the opioid abatement settlement account. The amount in this subsection is provided solely for the authority to provide grants to providers of employment and educational services to individuals with substance use disorder under section 27 of this act.</w:t>
      </w:r>
    </w:p>
    <w:p>
      <w:pPr>
        <w:spacing w:before="0" w:after="0" w:line="408" w:lineRule="exact"/>
        <w:ind w:left="0" w:right="0" w:firstLine="576"/>
        <w:jc w:val="left"/>
      </w:pPr>
      <w:r>
        <w:rPr/>
        <w:t xml:space="preserve">(7) The following sums, or so much thereof as may be necessary, are each appropriated: $750,000 from the state general fund for the fiscal year ending June 30, 2024; $750,000 from the state general fund for the fiscal year ending June 30, 2025; and $500,000 from the opioid abatement settlement account for the fiscal biennium ending June 30, 2025. The amounts in this subsection are provided solely for the authority to provide grants to support substance use disorder family navigator programs.</w:t>
      </w:r>
    </w:p>
    <w:p>
      <w:pPr>
        <w:spacing w:before="0" w:after="0" w:line="408" w:lineRule="exact"/>
        <w:ind w:left="0" w:right="0" w:firstLine="576"/>
        <w:jc w:val="left"/>
      </w:pPr>
      <w:r>
        <w:rPr/>
        <w:t xml:space="preserve">(8) The following sums, or so much thereof as may be necessary, are each appropriated: $2,500,000 from the state general fund for the fiscal year ending June 30, 2024; and $2,500,000 from the state general fund for the fiscal year ending June 30, 2025. The amounts in this subsection are provided solely for the authority to provide short-term housing vouchers for individuals with substance use disorders, with a focus on providing such resources to people in the five most populous counties of the state.</w:t>
      </w:r>
    </w:p>
    <w:p>
      <w:pPr>
        <w:spacing w:before="0" w:after="0" w:line="408" w:lineRule="exact"/>
        <w:ind w:left="0" w:right="0" w:firstLine="576"/>
        <w:jc w:val="left"/>
      </w:pPr>
      <w:r>
        <w:rPr/>
        <w:t xml:space="preserve">(9) The following sums, or so much thereof as may be necessary, are each appropriated: $2,000,000 from the state general fund for the fiscal year ending June 30, 2024; and $2,000,000 from the state general fund for the fiscal year ending June 30, 2025. The amounts in this subsection are provided solely for the authority to provide grants for the operational costs of new staffed recovery residences which serve individuals with substance use disorders who require more support than a level 1 recovery residence, with a focus on providing grants to recovery residences which serve individuals in the five most populous counties of the state.</w:t>
      </w:r>
    </w:p>
    <w:p>
      <w:pPr>
        <w:spacing w:before="0" w:after="0" w:line="408" w:lineRule="exact"/>
        <w:ind w:left="0" w:right="0" w:firstLine="576"/>
        <w:jc w:val="left"/>
      </w:pPr>
      <w:r>
        <w:rPr/>
        <w:t xml:space="preserve">(10)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support the provision of behavioral health co-responder services on nonlaw enforcement emergency medical response teams.</w:t>
      </w:r>
    </w:p>
    <w:p>
      <w:pPr>
        <w:spacing w:before="0" w:after="0" w:line="408" w:lineRule="exact"/>
        <w:ind w:left="0" w:right="0" w:firstLine="576"/>
        <w:jc w:val="left"/>
      </w:pPr>
      <w:r>
        <w:rPr/>
        <w:t xml:space="preserve">(11) The following sums, or so much thereof as may be necessary, are each appropriated: $250,000 from the state general fund for the fiscal year ending June 30, 2024; and $250,000 from the state general fund for the fiscal year ending June 30, 2025. The amounts in this subsection are provided solely for the authority to continue and increase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commerce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$650,000 from the state general fund for the fiscal year ending June 30, 2024; and $650,000 from the state general fund for the fiscal year ending June 30, 2025. The amounts in this section are provided solely for the office of homeless youth to administer a competitive grant process to award funding to licensed youth shelters, HOPE centers, and crisis residential centers to provide behavioral health support services, including substance use disorder services, for youth in crisis, and to increase funding for current grantees.</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27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24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28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22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20 of this act; and</w:t>
      </w:r>
    </w:p>
    <w:p>
      <w:pPr>
        <w:spacing w:before="0" w:after="0" w:line="408" w:lineRule="exact"/>
        <w:ind w:left="0" w:right="0" w:firstLine="576"/>
        <w:jc w:val="left"/>
      </w:pPr>
      <w:r>
        <w:rPr/>
        <w:t xml:space="preserve">(d) The effectiveness and outcomes of training developed by the authority for housing providers, as provided in section 17(4) of this act.</w:t>
      </w:r>
    </w:p>
    <w:p>
      <w:pPr>
        <w:spacing w:before="240" w:after="0" w:line="408" w:lineRule="exact"/>
        <w:ind w:left="0" w:right="0" w:firstLine="576"/>
        <w:jc w:val="center"/>
      </w:pPr>
      <w:r>
        <w:rPr>
          <w:b/>
        </w:rPr>
        <w:t xml:space="preserve">Part XIV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39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6f67e41c743b5" /></Relationships>
</file>