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4881d204a42fa" /></Relationships>
</file>

<file path=word/document.xml><?xml version="1.0" encoding="utf-8"?>
<w:document xmlns:w="http://schemas.openxmlformats.org/wordprocessingml/2006/main">
  <w:body>
    <w:p>
      <w:r>
        <w:rPr>
          <w:b/>
        </w:rPr>
        <w:r>
          <w:rPr/>
          <w:t xml:space="preserve">5599-S</w:t>
        </w:r>
      </w:r>
      <w:r>
        <w:rPr>
          <w:b/>
        </w:rPr>
        <w:t xml:space="preserve"> </w:t>
        <w:t xml:space="preserve">AMS</w:t>
      </w:r>
      <w:r>
        <w:rPr>
          <w:b/>
        </w:rPr>
        <w:t xml:space="preserve"> </w:t>
        <w:r>
          <w:rPr/>
          <w:t xml:space="preserve">BRAU</w:t>
        </w:r>
      </w:r>
      <w:r>
        <w:rPr>
          <w:b/>
        </w:rPr>
        <w:t xml:space="preserve"> </w:t>
        <w:r>
          <w:rPr/>
          <w:t xml:space="preserve">S2023.1</w:t>
        </w:r>
      </w:r>
      <w:r>
        <w:rPr>
          <w:b/>
        </w:rPr>
        <w:t xml:space="preserve"> - NOT FOR FLOOR USE</w:t>
      </w:r>
    </w:p>
    <w:p>
      <w:pPr>
        <w:ind w:left="0" w:right="0" w:firstLine="576"/>
      </w:pPr>
    </w:p>
    <w:p>
      <w:pPr>
        <w:spacing w:before="480" w:after="0" w:line="408" w:lineRule="exact"/>
      </w:pPr>
      <w:r>
        <w:rPr>
          <w:b/>
          <w:u w:val="single"/>
        </w:rPr>
        <w:t xml:space="preserve">SSB 5599</w:t>
      </w:r>
      <w:r>
        <w:t xml:space="preserve"> -</w:t>
      </w:r>
      <w:r>
        <w:t xml:space="preserve"> </w:t>
        <w:t xml:space="preserve">S AMD</w:t>
      </w:r>
      <w:r>
        <w:t xml:space="preserve"> </w:t>
      </w:r>
      <w:r>
        <w:rPr>
          <w:b/>
        </w:rPr>
        <w:t xml:space="preserve">128</w:t>
      </w:r>
    </w:p>
    <w:p>
      <w:pPr>
        <w:spacing w:before="0" w:after="0" w:line="408" w:lineRule="exact"/>
        <w:ind w:left="0" w:right="0" w:firstLine="576"/>
        <w:jc w:val="left"/>
      </w:pPr>
      <w:r>
        <w:rPr/>
        <w:t xml:space="preserve">By Senator Braun</w:t>
      </w:r>
    </w:p>
    <w:p>
      <w:pPr>
        <w:jc w:val="right"/>
      </w:pPr>
      <w:r>
        <w:rPr>
          <w:b/>
        </w:rPr>
        <w:t xml:space="preserve">NOT ADOPTED 03/01/2023</w:t>
      </w:r>
    </w:p>
    <w:p>
      <w:pPr>
        <w:spacing w:before="0" w:after="0" w:line="408" w:lineRule="exact"/>
        <w:ind w:left="0" w:right="0" w:firstLine="576"/>
        <w:jc w:val="left"/>
      </w:pPr>
      <w:r>
        <w:rPr/>
        <w:t xml:space="preserve">On page 3, beginning on line 1, after "to" strike all material through "</w:t>
      </w:r>
      <w:r>
        <w:rPr>
          <w:u w:val="single"/>
        </w:rPr>
        <w:t xml:space="preserve">Circumstances</w:t>
      </w:r>
      <w:r>
        <w:rPr/>
        <w:t xml:space="preserve">" on line 3 and insert ", circumstances"</w:t>
      </w:r>
    </w:p>
    <w:p>
      <w:pPr>
        <w:spacing w:before="0" w:after="0" w:line="408" w:lineRule="exact"/>
        <w:ind w:left="0" w:right="0" w:firstLine="576"/>
        <w:jc w:val="left"/>
      </w:pPr>
      <w:r>
        <w:rPr/>
        <w:t xml:space="preserve">On page 3, beginning on line 5, after "26.44.020" strike all material through "</w:t>
      </w:r>
      <w:r>
        <w:rPr>
          <w:u w:val="single"/>
        </w:rPr>
        <w:t xml:space="preserve">5489)</w:t>
      </w:r>
      <w:r>
        <w:rPr/>
        <w:t xml:space="preserve">" on line 9</w:t>
      </w:r>
    </w:p>
    <w:p>
      <w:pPr>
        <w:spacing w:before="0" w:after="0" w:line="408" w:lineRule="exact"/>
        <w:ind w:left="0" w:right="0" w:firstLine="576"/>
        <w:jc w:val="left"/>
      </w:pPr>
      <w:r>
        <w:rPr/>
        <w:t xml:space="preserve">On page 8, beginning on line 1, after "</w:t>
      </w:r>
      <w:r>
        <w:rPr>
          <w:u w:val="single"/>
        </w:rPr>
        <w:t xml:space="preserve">means</w:t>
      </w:r>
      <w:r>
        <w:rPr/>
        <w:t xml:space="preserve">" strike all material through "</w:t>
      </w:r>
      <w:r>
        <w:rPr>
          <w:u w:val="single"/>
        </w:rPr>
        <w:t xml:space="preserve">5489)</w:t>
      </w:r>
      <w:r>
        <w:rPr/>
        <w:t xml:space="preserve">" on line 5 and insert "</w:t>
      </w:r>
      <w:r>
        <w:rPr>
          <w:u w:val="single"/>
        </w:rPr>
        <w:t xml:space="preserve">there are circumstances that indicate that notifying the parent or legal guardian will subject the minor to abuse or neglect as defined in RCW 26.44.020</w:t>
      </w:r>
      <w:r>
        <w:rPr/>
        <w:t xml:space="preserve">"</w:t>
      </w:r>
    </w:p>
    <w:p>
      <w:pPr>
        <w:spacing w:before="0" w:after="0" w:line="408" w:lineRule="exact"/>
        <w:ind w:left="0" w:right="0" w:firstLine="576"/>
        <w:jc w:val="left"/>
      </w:pPr>
      <w:r>
        <w:rPr>
          <w:u w:val="single"/>
        </w:rPr>
        <w:t xml:space="preserve">EFFECT:</w:t>
      </w:r>
      <w:r>
        <w:rPr/>
        <w:t xml:space="preserve"> Retains current law in that licensed shelters and licensed organizations that provide services to homeless or runaway youth and their families are required to contact the youth's parents unless there are compelling reasons not to, which may include circumstances where notifying the parent or legal guardian will subject the minor to child abuse or neglect. Strikes a minor seeking protected health care services as a compelling reason for not contacting the parent or legal guardian.</w:t>
      </w:r>
    </w:p>
    <w:p>
      <w:pPr>
        <w:spacing w:before="0" w:after="0" w:line="408" w:lineRule="exact"/>
        <w:ind w:left="0" w:right="0" w:firstLine="576"/>
        <w:jc w:val="left"/>
      </w:pPr>
      <w:r>
        <w:rPr/>
        <w:t xml:space="preserve">For host homes, changes a compelling reason to not have a parent's permission or authorization is that there are circumstances that indicate notifying the parent or legal guardian will subject the minor to child abuse or neglect. Strikes a youth seeking protected health care services as a compelling reason for not contacting the parent or legal guardian.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f6b95c6c84728" /></Relationships>
</file>