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be40c3a474f2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5816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S4955.2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35, after "this state" strike "or" and insert "</w:t>
      </w:r>
      <w:r>
        <w:t>((</w:t>
      </w:r>
      <w:r>
        <w:rPr>
          <w:strike/>
        </w:rPr>
        <w:t xml:space="preserve">or</w:t>
      </w:r>
      <w:r>
        <w:t>))</w:t>
      </w:r>
      <w:r>
        <w:rPr>
          <w:u w:val="single"/>
        </w:rPr>
        <w:t xml:space="preserve">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36, after "felony" insert "</w:t>
      </w:r>
      <w:r>
        <w:rPr>
          <w:u w:val="single"/>
        </w:rPr>
        <w:t xml:space="preserve">under chapter 9A.40, 9A.44, 9A.46, 9A.86, or 9A.88 RCW, or a felony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felonies in specified statutes in the criminal code to the felony conviction requirement for the Liquor and Cannabis Board to suspend or revoke an existing alcohol server permit.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88904ef42419e" /></Relationships>
</file>