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9c09af74e46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S4579.1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02/02/2024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8, after "perception of" strike "((</w:t>
      </w:r>
      <w:r>
        <w:rPr>
          <w:strike/>
        </w:rPr>
        <w:t xml:space="preserve">the victim's</w:t>
      </w:r>
      <w:r>
        <w:rPr/>
        <w:t xml:space="preserve">)) </w:t>
      </w:r>
      <w:r>
        <w:rPr>
          <w:u w:val="single"/>
        </w:rPr>
        <w:t xml:space="preserve">another person's</w:t>
      </w:r>
      <w:r>
        <w:rPr/>
        <w:t xml:space="preserve">" and insert "the victim's"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Maintains current statutory language that a person is guilty of a hate crime if the person maliciously and intentionally commits one of the prohibited acts because of their perception of the victim's inclusion in a protected class.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2a020ba90451b" /></Relationships>
</file>