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17ed0afd24a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S4956.1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6038</w:t>
      </w:r>
      <w:r>
        <w:t xml:space="preserve"> -</w:t>
      </w:r>
      <w:r>
        <w:t xml:space="preserve"> </w:t>
        <w:t xml:space="preserve">S AMD TO S AMD (S-4938.1/24)</w:t>
      </w:r>
      <w:r>
        <w:t xml:space="preserve"> </w:t>
      </w:r>
      <w:r>
        <w:rPr>
          <w:b/>
        </w:rPr>
        <w:t xml:space="preserve">617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C. Wilson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24,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4, strike "</w:t>
      </w:r>
      <w:r>
        <w:rPr>
          <w:u w:val="single"/>
        </w:rPr>
        <w:t xml:space="preserve">(1)</w:t>
      </w:r>
      <w:r>
        <w:rPr/>
        <w:t xml:space="preserve"> Upon" and insert "</w:t>
      </w:r>
      <w:r>
        <w:t>((</w:t>
      </w:r>
      <w:r>
        <w:rPr>
          <w:strike/>
        </w:rPr>
        <w:t xml:space="preserve">Upon</w:t>
      </w:r>
      <w:r>
        <w:t>))</w:t>
      </w:r>
      <w:r>
        <w:rPr/>
        <w:t xml:space="preserve"> </w:t>
      </w:r>
      <w:r>
        <w:rPr>
          <w:u w:val="single"/>
        </w:rPr>
        <w:t xml:space="preserve">(1) Except as provided in subsection (2) of this section, upon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strike all of subsection (2)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(2) Until January 1, 2035, this chapter does not apply to amounts received by a child care provider for the care and supervision for periods of less than 24 hours of children: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Under 13 years of age;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Under 19 years of age who have a verified special need or are under court supervision as determined by the department of children, youth, and families under chapter 43.216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exemption under subsection (2) of this section applies only to persons primarily engaged in the business of providing child care.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8, after "1" strike ", 2, and 3" and insert "and 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12, after "43.216.305;" strike all material through "date." on line 14 and insert "creating a new section;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business and occupation tax exemption applies only to businesses primarily engaged in providing child care; removes the expiration date; expires the exemption January 1, 2035; and makes technical changes.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f1ec4365043aa" /></Relationships>
</file>