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a161ebc743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KAUF</w:t>
        </w:r>
      </w:r>
      <w:r>
        <w:rPr>
          <w:b/>
        </w:rPr>
        <w:t xml:space="preserve"> </w:t>
        <w:r>
          <w:rPr/>
          <w:t xml:space="preserve">S4876.1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Kauffman</w:t>
      </w:r>
    </w:p>
    <w:p>
      <w:pPr>
        <w:jc w:val="right"/>
      </w:pPr>
      <w:r>
        <w:rPr>
          <w:b/>
        </w:rPr>
        <w:t xml:space="preserve">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3, insert "required"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3, after "resources," strike "if mitigation is possible,"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required mitigation for impacts to cultural resources must be adequately addressed for the development exempted under the housing development categorical exemption.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a7cef473340a2" /></Relationships>
</file>