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2f26ab7274a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S4609.1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17, after "offense" strike "</w:t>
      </w:r>
      <w:r>
        <w:rPr>
          <w:u w:val="single"/>
        </w:rPr>
        <w:t xml:space="preserve">and was 18 years of age or older on the offense date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20, after "offender" strike "</w:t>
      </w:r>
      <w:r>
        <w:rPr>
          <w:u w:val="single"/>
        </w:rPr>
        <w:t xml:space="preserve">, who was 18 years of age or older on the offense date,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language limiting persistent offender status to adults from subsection (37)(a)(i) and (ii), the most serious offense prong of the definition.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ac580187b479e" /></Relationships>
</file>