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064fb5c4649c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S5044.1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6229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PULLED 02/13/2024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22, after "funding" strike all material through "</w:t>
      </w:r>
      <w:r>
        <w:rPr>
          <w:strike/>
        </w:rPr>
        <w:t xml:space="preserve">project</w:t>
      </w:r>
      <w:r>
        <w:rPr/>
        <w:t xml:space="preserve">))" on line 23 and insert "for that project that is at least equal to 20 percent of the total cost of the project</w:t>
      </w:r>
      <w:r>
        <w:rPr>
          <w:u w:val="single"/>
        </w:rPr>
        <w:t xml:space="preserve">. Rural transit agencies, as defined in the department's "Summary of Public Transportation" report, are exempt from the 20 percent match threshold and shall provide a match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match requirements for rural transit agencies.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33a9963934196" /></Relationships>
</file>