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6c414c0624c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6246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S4869.1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"RCW for" strike "</w:t>
      </w:r>
      <w:r>
        <w:rPr>
          <w:u w:val="single"/>
        </w:rPr>
        <w:t xml:space="preserve">evaluation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"RCW" insert "</w:t>
      </w:r>
      <w:r>
        <w:rPr>
          <w:u w:val="single"/>
        </w:rPr>
        <w:t xml:space="preserve">10.77.084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"RCW, for" strike "</w:t>
      </w:r>
      <w:r>
        <w:rPr>
          <w:u w:val="single"/>
        </w:rPr>
        <w:t xml:space="preserve">evaluation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17, insert "</w:t>
      </w:r>
      <w:r>
        <w:rPr>
          <w:u w:val="single"/>
        </w:rPr>
        <w:t xml:space="preserve">10.77.084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loss of firearm rights under chapter 10.77 RCW is triggered by a court commitment related to treatment for a mental disorder, not an order for a competency evaluation.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b6ee53bd24f78" /></Relationships>
</file>