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7729edf344a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6298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S4698.2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23, after "</w:t>
      </w:r>
      <w:r>
        <w:rPr>
          <w:u w:val="single"/>
        </w:rPr>
        <w:t xml:space="preserve">(vi)</w:t>
      </w:r>
      <w:r>
        <w:rPr/>
        <w:t xml:space="preserve">" strike "</w:t>
      </w:r>
      <w:r>
        <w:rPr>
          <w:u w:val="single"/>
        </w:rPr>
        <w:t xml:space="preserve">Regardless of (g)(i) of this subsection, a</w:t>
      </w:r>
      <w:r>
        <w:rPr/>
        <w:t xml:space="preserve">" and insert "</w:t>
      </w:r>
      <w:r>
        <w:rPr>
          <w:u w:val="single"/>
        </w:rPr>
        <w:t xml:space="preserve">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26, after "</w:t>
      </w:r>
      <w:r>
        <w:rPr>
          <w:u w:val="single"/>
        </w:rPr>
        <w:t xml:space="preserve">neglected</w:t>
      </w:r>
      <w:r>
        <w:rPr/>
        <w:t xml:space="preserve">" strike all material through "</w:t>
      </w:r>
      <w:r>
        <w:rPr>
          <w:u w:val="single"/>
        </w:rPr>
        <w:t xml:space="preserve">communication</w:t>
      </w:r>
      <w:r>
        <w:rPr/>
        <w:t xml:space="preserve">" on line 28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member of the clergy has a duty to warn the Department of Children, Youth, and Families or law enforcement when they have a reasonable cause to believe a child is at imminent risk of being abused or neglected.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252fd829c484a" /></Relationships>
</file>