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603f1e6994717"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KING</w:t>
        </w:r>
      </w:r>
      <w:r>
        <w:rPr>
          <w:b/>
        </w:rPr>
        <w:t xml:space="preserve"> </w:t>
        <w:r>
          <w:rPr/>
          <w:t xml:space="preserve">S4995.1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665</w:t>
      </w:r>
    </w:p>
    <w:p>
      <w:pPr>
        <w:spacing w:before="0" w:after="0" w:line="408" w:lineRule="exact"/>
        <w:ind w:left="0" w:right="0" w:firstLine="576"/>
        <w:jc w:val="left"/>
      </w:pPr>
      <w:r>
        <w:rPr/>
        <w:t xml:space="preserve">By Senator King</w:t>
      </w:r>
    </w:p>
    <w:p>
      <w:pPr>
        <w:jc w:val="right"/>
      </w:pPr>
      <w:r>
        <w:rPr>
          <w:b/>
        </w:rPr>
        <w:t xml:space="preserve">NOT CONSIDERED 03/07/2024</w:t>
      </w:r>
    </w:p>
    <w:p>
      <w:pPr>
        <w:spacing w:before="0" w:after="0" w:line="408" w:lineRule="exact"/>
        <w:ind w:left="0" w:right="0" w:firstLine="576"/>
        <w:jc w:val="left"/>
      </w:pPr>
      <w:r>
        <w:rPr/>
        <w:t xml:space="preserve">On page 12, beginning on line 13, strike all of subsection (1) and insert the following:</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On page 13, beginning on line 12, strike all of subsection (1) and insert the following:</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On page 14, beginning on line 11, strike all of subsection (1) and insert the following:</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of the utilities' programs or plans in RCW 80.28.365(1) do not increase the annual retail revenue requirement of the utility, after accounting for the benefits of transportation electrification in each year of the plan,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u w:val="single"/>
        </w:rPr>
        <w:t xml:space="preserve">EFFECT:</w:t>
      </w:r>
      <w:r>
        <w:rPr/>
        <w:t xml:space="preserve"> Restores the electric utility rate cap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a7f086840464b" /></Relationships>
</file>