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a9f2f34a447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S4996.1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26, after "(b)" insert "(i) "Commercial motor vehicle" includes both commercial motor vehicles based in Washington and commercial motor vehicles not based in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"Commercial motor vehicle" does not include any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Concrete trucks;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Aggregate dump trucks;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Vehicles used in the operations of any consumer-owned utility, investor-owned utility, or municipal utility;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other vehicle as provided by rule.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Specifies that "commercial motor vehicle" includes both vehicles based in Washington and vehicles not based in Washington for the idling limits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Outlines which vehicles are not considered commercial motor vehicles for the idling limits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0e32087a54310" /></Relationships>
</file>