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f15009df54fb2"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S5005.1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666</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18, beginning on line 9, after "for" strike all material through "section" on line 11 and insert "certain vehicles including, but not limited to:</w:t>
      </w:r>
    </w:p>
    <w:p>
      <w:pPr>
        <w:spacing w:before="0" w:after="0" w:line="408" w:lineRule="exact"/>
        <w:ind w:left="0" w:right="0" w:firstLine="576"/>
        <w:jc w:val="left"/>
      </w:pPr>
      <w:r>
        <w:rPr/>
        <w:t xml:space="preserve">(A) Authorized emergency vehicles as defined in RCW 46.04.040;</w:t>
      </w:r>
    </w:p>
    <w:p>
      <w:pPr>
        <w:spacing w:before="0" w:after="0" w:line="408" w:lineRule="exact"/>
        <w:ind w:left="0" w:right="0" w:firstLine="576"/>
        <w:jc w:val="left"/>
      </w:pPr>
      <w:r>
        <w:rPr/>
        <w:t xml:space="preserve">(B) Vehicles used in the production of timber products;</w:t>
      </w:r>
    </w:p>
    <w:p>
      <w:pPr>
        <w:spacing w:before="0" w:after="0" w:line="408" w:lineRule="exact"/>
        <w:ind w:left="0" w:right="0" w:firstLine="576"/>
        <w:jc w:val="left"/>
      </w:pPr>
      <w:r>
        <w:rPr/>
        <w:t xml:space="preserve">(C) Vehicles used in the production of agricultural products;</w:t>
      </w:r>
    </w:p>
    <w:p>
      <w:pPr>
        <w:spacing w:before="0" w:after="0" w:line="408" w:lineRule="exact"/>
        <w:ind w:left="0" w:right="0" w:firstLine="576"/>
        <w:jc w:val="left"/>
      </w:pPr>
      <w:r>
        <w:rPr/>
        <w:t xml:space="preserve">(D) Vehicles used for delivery services including, but not limited to, parcel goods delivery vehicles;</w:t>
      </w:r>
    </w:p>
    <w:p>
      <w:pPr>
        <w:spacing w:before="0" w:after="0" w:line="408" w:lineRule="exact"/>
        <w:ind w:left="0" w:right="0" w:firstLine="576"/>
        <w:jc w:val="left"/>
      </w:pPr>
      <w:r>
        <w:rPr/>
        <w:t xml:space="preserve">(E) Vehicles used in the construction process;</w:t>
      </w:r>
    </w:p>
    <w:p>
      <w:pPr>
        <w:spacing w:before="0" w:after="0" w:line="408" w:lineRule="exact"/>
        <w:ind w:left="0" w:right="0" w:firstLine="576"/>
        <w:jc w:val="left"/>
      </w:pPr>
      <w:r>
        <w:rPr/>
        <w:t xml:space="preserve">(F) Vehicles used to transport students;</w:t>
      </w:r>
    </w:p>
    <w:p>
      <w:pPr>
        <w:spacing w:before="0" w:after="0" w:line="408" w:lineRule="exact"/>
        <w:ind w:left="0" w:right="0" w:firstLine="576"/>
        <w:jc w:val="left"/>
      </w:pPr>
      <w:r>
        <w:rPr/>
        <w:t xml:space="preserve">(G) Vehicles with an average fuel economy standard of at least 30 miles per gallon;</w:t>
      </w:r>
    </w:p>
    <w:p>
      <w:pPr>
        <w:spacing w:before="0" w:after="0" w:line="408" w:lineRule="exact"/>
        <w:ind w:left="0" w:right="0" w:firstLine="576"/>
        <w:jc w:val="left"/>
      </w:pPr>
      <w:r>
        <w:rPr/>
        <w:t xml:space="preserve">(H) Vehicles that use at least one method of propulsion that is capable of being reenergized by an external source of electricity and is capable of traveling at least 30 miles using only battery power; and</w:t>
      </w:r>
    </w:p>
    <w:p>
      <w:pPr>
        <w:spacing w:before="0" w:after="0" w:line="408" w:lineRule="exact"/>
        <w:ind w:left="0" w:right="0" w:firstLine="576"/>
        <w:jc w:val="left"/>
      </w:pPr>
      <w:r>
        <w:rPr/>
        <w:t xml:space="preserve">(I) Hybrid motor vehicles as defined in RCW 46.04.204"</w:t>
      </w:r>
    </w:p>
    <w:p>
      <w:pPr>
        <w:spacing w:before="0" w:after="0" w:line="408" w:lineRule="exact"/>
        <w:ind w:left="0" w:right="0" w:firstLine="576"/>
        <w:jc w:val="left"/>
      </w:pPr>
      <w:r>
        <w:rPr>
          <w:u w:val="single"/>
        </w:rPr>
        <w:t xml:space="preserve">EFFECT:</w:t>
      </w:r>
      <w:r>
        <w:rPr/>
        <w:t xml:space="preserve"> Specifies vehicles that the department of commerce must exempt from rules prohibiting the sale or offer for sale of replacement tires based on their rolling resistance.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065a23da240ed" /></Relationships>
</file>