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1748780de44b12" /></Relationships>
</file>

<file path=word/document.xml><?xml version="1.0" encoding="utf-8"?>
<w:document xmlns:w="http://schemas.openxmlformats.org/wordprocessingml/2006/main">
  <w:body>
    <w:p>
      <w:r>
        <w:t>H-0126.4</w:t>
      </w:r>
    </w:p>
    <w:p>
      <w:pPr>
        <w:jc w:val="center"/>
      </w:pPr>
      <w:r>
        <w:t>_______________________________________________</w:t>
      </w:r>
    </w:p>
    <w:p/>
    <w:p>
      <w:pPr>
        <w:jc w:val="center"/>
      </w:pPr>
      <w:r>
        <w:rPr>
          <w:b/>
        </w:rPr>
        <w:t>HOUSE BILL 1073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Harris, Tharinger, Ryu, Leavitt, Macri, Caldier, Santos, and Ormsby</w:t>
      </w:r>
    </w:p>
    <w:p/>
    <w:p>
      <w:r>
        <w:rPr>
          <w:t xml:space="preserve">Prefiled 12/22/22.</w:t>
        </w:rPr>
      </w:r>
      <w:r>
        <w:rPr>
          <w:t xml:space="preserve">Read first time 01/09/23.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assistants; and amending RCW 18.360.040 and 18.360.050.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2017 c 336 s 17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w:t>
      </w:r>
      <w:r>
        <w:rPr>
          <w:u w:val="single"/>
        </w:rPr>
        <w:t xml:space="preserve">and issuance of a certification,</w:t>
      </w:r>
      <w:r>
        <w:rPr/>
        <w:t xml:space="preserve"> or after one year, whichever occurs first, and may not be renewed.</w:t>
      </w:r>
    </w:p>
    <w:p>
      <w:pPr>
        <w:spacing w:before="0" w:after="0" w:line="408" w:lineRule="exact"/>
        <w:ind w:left="0" w:right="0" w:firstLine="576"/>
        <w:jc w:val="left"/>
      </w:pPr>
      <w:r>
        <w:rPr/>
        <w:t xml:space="preserve">(2)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(3) The secretary shall issue a certification as a medical assistant-phlebotomist to any person who meets the qualifications for a medical assistant-phlebotomist established under RCW 18.360.030. </w:t>
      </w:r>
      <w:r>
        <w:rPr>
          <w:u w:val="single"/>
        </w:rPr>
        <w:t xml:space="preserve">A medical assistant-certified who has completed medical assistant-phlebotomist training and has applied for medical assistant-phlebotomist certification from the secretary may work as a medical assistant-phlebotomist under supervision while the application is being processed.</w:t>
      </w:r>
    </w:p>
    <w:p>
      <w:pPr>
        <w:spacing w:before="0" w:after="0" w:line="408" w:lineRule="exact"/>
        <w:ind w:left="0" w:right="0" w:firstLine="576"/>
        <w:jc w:val="left"/>
      </w:pPr>
      <w:r>
        <w:rPr/>
        <w:t xml:space="preserve">(4) 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rPr/>
        <w:t xml:space="preserve">(5)(a)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(5),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rPr/>
        <w:t xml:space="preserve">(6) A certification issued under subsections (1) through (3) of this section is transferable between different practice settings. A certification under subsection (4)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2014 c 138 s 1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t xml:space="preserve">(g) Intravenous injections. A medical assistant-certified may administer intravenous injections for diagnostic or therapeutic agents under the </w:t>
      </w:r>
      <w:r>
        <w:t>((</w:t>
      </w:r>
      <w:r>
        <w:rPr>
          <w:strike/>
        </w:rPr>
        <w:t xml:space="preserve">direct visual</w:t>
      </w:r>
      <w:r>
        <w:t>))</w:t>
      </w:r>
      <w:r>
        <w:rPr/>
        <w:t xml:space="preserve">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utilizing no more than local anesthetic. The department may, by rule, prohibit duties authorized under this subsection (4)(d)(v)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(f) Administering eye drops, topical ointments, and vaccines, including combination or multidose vaccines.</w:t>
      </w:r>
    </w:p>
    <w:p>
      <w:pPr>
        <w:spacing w:before="0" w:after="0" w:line="408" w:lineRule="exact"/>
        <w:ind w:left="0" w:right="0" w:firstLine="576"/>
        <w:jc w:val="left"/>
      </w:pPr>
      <w:r>
        <w:rPr/>
        <w:t xml:space="preserve">(g) Urethral catheterization when appropriately trained.</w:t>
      </w:r>
    </w:p>
    <w:p/>
    <w:p>
      <w:pPr>
        <w:jc w:val="center"/>
      </w:pPr>
      <w:r>
        <w:rPr>
          <w:b/>
        </w:rPr>
        <w:t>--- END ---</w:t>
      </w:r>
    </w:p>
    <w:sectPr>
      <w:pgNumType w:start="1"/>
      <w:footerReference xmlns:r="http://schemas.openxmlformats.org/officeDocument/2006/relationships" r:id="Rb819190af57047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a653577cd54235" /><Relationship Type="http://schemas.openxmlformats.org/officeDocument/2006/relationships/footer" Target="/word/footer1.xml" Id="Rb819190af57047f0" /></Relationships>
</file>