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ed798adb7485d" /></Relationships>
</file>

<file path=word/document.xml><?xml version="1.0" encoding="utf-8"?>
<w:document xmlns:w="http://schemas.openxmlformats.org/wordprocessingml/2006/main">
  <w:body>
    <w:p>
      <w:r>
        <w:t>H-0216.1</w:t>
      </w:r>
    </w:p>
    <w:p>
      <w:pPr>
        <w:jc w:val="center"/>
      </w:pPr>
      <w:r>
        <w:t>_______________________________________________</w:t>
      </w:r>
    </w:p>
    <w:p/>
    <w:p>
      <w:pPr>
        <w:jc w:val="center"/>
      </w:pPr>
      <w:r>
        <w:rPr>
          <w:b/>
        </w:rPr>
        <w:t>HOUSE BILL 1077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Thai, Walen, Simmons, Leavitt, Senn, Goodman, and Santos</w:t>
      </w:r>
    </w:p>
    <w:p/>
    <w:p>
      <w:r>
        <w:rPr>
          <w:t xml:space="preserve">Prefiled 12/23/22.</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The certified handler may be asked to show identification, provided by the qualified assistance dog organization that trained the courthouse facility dog and certified handler, to establish that their public access is authorized.</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w:t>
      </w:r>
      <w:r>
        <w:t>((</w:t>
      </w:r>
      <w:r>
        <w:rPr>
          <w:strike/>
        </w:rPr>
        <w:t xml:space="preserve">must</w:t>
      </w:r>
      <w:r>
        <w:t>))</w:t>
      </w:r>
      <w:r>
        <w:rPr/>
        <w:t xml:space="preserve"> </w:t>
      </w:r>
      <w:r>
        <w:rPr>
          <w:u w:val="single"/>
        </w:rPr>
        <w:t xml:space="preserve">should</w:t>
      </w:r>
      <w:r>
        <w:rPr/>
        <w:t xml:space="preserve">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the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the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w:t>
      </w:r>
    </w:p>
    <w:p>
      <w:pPr>
        <w:spacing w:before="0" w:after="0" w:line="408" w:lineRule="exact"/>
        <w:ind w:left="0" w:right="0" w:firstLine="576"/>
        <w:jc w:val="left"/>
      </w:pPr>
      <w:r>
        <w:rPr/>
        <w:t xml:space="preserve">(a) "Certified handler" means a person who (i) was trained to handle the courthouse facility dog by the assistance dog organization that placed the dog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NumType w:start="1"/>
      <w:footerReference xmlns:r="http://schemas.openxmlformats.org/officeDocument/2006/relationships" r:id="R4081c1105be34b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ce5de277424829" /><Relationship Type="http://schemas.openxmlformats.org/officeDocument/2006/relationships/footer" Target="/word/footer1.xml" Id="R4081c1105be34b80" /></Relationships>
</file>