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bf181ac624420b" /></Relationships>
</file>

<file path=word/document.xml><?xml version="1.0" encoding="utf-8"?>
<w:document xmlns:w="http://schemas.openxmlformats.org/wordprocessingml/2006/main">
  <w:body>
    <w:p>
      <w:r>
        <w:t>H-3083.1</w:t>
      </w:r>
    </w:p>
    <w:p>
      <w:pPr>
        <w:jc w:val="center"/>
      </w:pPr>
      <w:r>
        <w:t>_______________________________________________</w:t>
      </w:r>
    </w:p>
    <w:p/>
    <w:p>
      <w:pPr>
        <w:jc w:val="center"/>
      </w:pPr>
      <w:r>
        <w:rPr>
          <w:b/>
        </w:rPr>
        <w:t>SECOND SUBSTITUTE HOUSE BILL 1078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Duerr, Doglio, Simmons, Reed, Ryu, Walen, Ramel, Macri, Reeves,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forest management ordinances; amending RCW 76.15.010 and 76.15.110;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currently a shortage of housing, particularly affordable housing, within the state. The legislature finds one of the most efficient and sustainable ways to address this shortage is through the development of housing options within existing urban growth areas. The legislature also finds that tree canopy and green space are necessary for the health and wellness of urban growth area residents. To improve the quality of tree canopy and green space in the state, the legislature previously adopted chapter 76.15 RCW to encourage planning for, planting, maintaining, and managing trees in the state's cities, counties, and tribal lands.</w:t>
      </w:r>
    </w:p>
    <w:p>
      <w:pPr>
        <w:spacing w:before="0" w:after="0" w:line="408" w:lineRule="exact"/>
        <w:ind w:left="0" w:right="0" w:firstLine="576"/>
        <w:jc w:val="left"/>
      </w:pPr>
      <w:r>
        <w:rPr/>
        <w:t xml:space="preserve">Local government policies, programs, activities, and management plans regarding urban and community forestry may, however, limit or prevent development opportunities that would provide needed additional housing. The legislature believes it is important that actions taken by local governments to promote urban and community forestry and to address the negative impacts of a reduction in tree canopy do not adversely impact the ability of local governments to provide housing that is needed to accommodate projected population growth. Therefore, it is the intent of the legislature to provide guidance to local governments wishing to create tree bank programs as an additional tool for promoting urban and community forestry while also allowing for the development of needed housing. Tree banks can allow the removal of trees in one area being developed to be offset by the addition of trees to one or more areas in which the need for trees is more acute. Using tree banks can facilitate adding trees in areas that have historically suffered from environmental inequality and health disparities, areas subject to the urban heat island effect, and areas in which the trees will most benefit salmon and orca recovery efforts. It is the intent of the legislature that these programs be voluntary and that cities retain discretion in choosing whether to adopt a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2021 c 209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natural resources.</w:t>
      </w:r>
    </w:p>
    <w:p>
      <w:pPr>
        <w:spacing w:before="0" w:after="0" w:line="408" w:lineRule="exact"/>
        <w:ind w:left="0" w:right="0" w:firstLine="576"/>
        <w:jc w:val="left"/>
      </w:pPr>
      <w:r>
        <w:rPr/>
        <w:t xml:space="preserve">(2) "Evergreen community" means a city, town, or county designated as such under RCW 76.15.090.</w:t>
      </w:r>
    </w:p>
    <w:p>
      <w:pPr>
        <w:spacing w:before="0" w:after="0" w:line="408" w:lineRule="exact"/>
        <w:ind w:left="0" w:right="0" w:firstLine="576"/>
        <w:jc w:val="left"/>
      </w:pPr>
      <w:r>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t xml:space="preserve">(4) "Management plan" means an urban forest management plan developed pursuant to this chapter.</w:t>
      </w:r>
    </w:p>
    <w:p>
      <w:pPr>
        <w:spacing w:before="0" w:after="0" w:line="408" w:lineRule="exact"/>
        <w:ind w:left="0" w:right="0" w:firstLine="576"/>
        <w:jc w:val="left"/>
      </w:pPr>
      <w:r>
        <w:rPr/>
        <w:t xml:space="preserve">(5) </w:t>
      </w:r>
      <w:r>
        <w:rPr>
          <w:u w:val="single"/>
        </w:rPr>
        <w:t xml:space="preserve">"Tree bank" means an area or areas designated by a community wherein trees can be planted to compensate for the removal of trees elsewhere, and includes programs providing for the payment of a fee in lieu of physically planting the trees.</w:t>
      </w:r>
    </w:p>
    <w:p>
      <w:pPr>
        <w:spacing w:before="0" w:after="0" w:line="408" w:lineRule="exact"/>
        <w:ind w:left="0" w:right="0" w:firstLine="576"/>
        <w:jc w:val="left"/>
      </w:pPr>
      <w:r>
        <w:rPr>
          <w:u w:val="single"/>
        </w:rPr>
        <w:t xml:space="preserve">(6)</w:t>
      </w:r>
      <w:r>
        <w:rPr/>
        <w:t xml:space="preserve">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"Tribes" means any federally recognized Indian tribes whose traditional lands and territories include parts of the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110</w:t>
      </w:r>
      <w:r>
        <w:rPr/>
        <w:t xml:space="preserve"> and 2021 c 209 s 10 are each amended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w:t>
      </w:r>
      <w:r>
        <w:t>((</w:t>
      </w:r>
      <w:r>
        <w:rPr>
          <w:strike/>
        </w:rPr>
        <w:t xml:space="preserve">Canopy</w:t>
      </w:r>
      <w:r>
        <w:t>))</w:t>
      </w:r>
      <w:r>
        <w:rPr/>
        <w:t xml:space="preserve"> </w:t>
      </w:r>
      <w:r>
        <w:rPr>
          <w:u w:val="single"/>
        </w:rPr>
        <w:t xml:space="preserve">Tree canopy</w:t>
      </w:r>
      <w:r>
        <w:rPr/>
        <w:t xml:space="preserve">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w:t>
      </w:r>
      <w:r>
        <w:rPr>
          <w:u w:val="single"/>
        </w:rPr>
        <w:t xml:space="preserve">tree</w:t>
      </w:r>
      <w:r>
        <w:rPr/>
        <w:t xml:space="preserve">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w:t>
      </w:r>
      <w:r>
        <w:rPr>
          <w:u w:val="single"/>
        </w:rPr>
        <w:t xml:space="preserve">The department must establish optional model urban forestry ordinances and recommendations and deliver technical assistance and planning support to local jurisdictions that decide to utilize the model ordinances and recommendations. These model ordinances and recommendations must:</w:t>
      </w:r>
    </w:p>
    <w:p>
      <w:pPr>
        <w:spacing w:before="0" w:after="0" w:line="408" w:lineRule="exact"/>
        <w:ind w:left="0" w:right="0" w:firstLine="576"/>
        <w:jc w:val="left"/>
      </w:pPr>
      <w:r>
        <w:rPr>
          <w:u w:val="single"/>
        </w:rPr>
        <w:t xml:space="preserve">(a) Establish criteria for including tree bank programs in urban forestry ordinances;</w:t>
      </w:r>
    </w:p>
    <w:p>
      <w:pPr>
        <w:spacing w:before="0" w:after="0" w:line="408" w:lineRule="exact"/>
        <w:ind w:left="0" w:right="0" w:firstLine="576"/>
        <w:jc w:val="left"/>
      </w:pPr>
      <w:r>
        <w:rPr>
          <w:u w:val="single"/>
        </w:rPr>
        <w:t xml:space="preserve">(b) Establish criteria for designating areas for tree banks, including that tree banks must be located within areas identified as priority regions under RCW 76.15.100 and areas suffering from adverse environmental factors including, but not limited to, erosion, flooding, air or water pollution, and the urban heat island effect;</w:t>
      </w:r>
    </w:p>
    <w:p>
      <w:pPr>
        <w:spacing w:before="0" w:after="0" w:line="408" w:lineRule="exact"/>
        <w:ind w:left="0" w:right="0" w:firstLine="576"/>
        <w:jc w:val="left"/>
      </w:pPr>
      <w:r>
        <w:rPr>
          <w:u w:val="single"/>
        </w:rPr>
        <w:t xml:space="preserve">(c) Using the best available science, determine, at a minimum:</w:t>
      </w:r>
    </w:p>
    <w:p>
      <w:pPr>
        <w:spacing w:before="0" w:after="0" w:line="408" w:lineRule="exact"/>
        <w:ind w:left="0" w:right="0" w:firstLine="576"/>
        <w:jc w:val="left"/>
      </w:pPr>
      <w:r>
        <w:rPr>
          <w:u w:val="single"/>
        </w:rPr>
        <w:t xml:space="preserve">(i) The appropriate ratios of trees planted within the tree bank to trees removed elsewhere within the community; and</w:t>
      </w:r>
    </w:p>
    <w:p>
      <w:pPr>
        <w:spacing w:before="0" w:after="0" w:line="408" w:lineRule="exact"/>
        <w:ind w:left="0" w:right="0" w:firstLine="576"/>
        <w:jc w:val="left"/>
      </w:pPr>
      <w:r>
        <w:rPr>
          <w:u w:val="single"/>
        </w:rPr>
        <w:t xml:space="preserve">(ii) The appropriate species of trees to be used within the tree bank;</w:t>
      </w:r>
    </w:p>
    <w:p>
      <w:pPr>
        <w:spacing w:before="0" w:after="0" w:line="408" w:lineRule="exact"/>
        <w:ind w:left="0" w:right="0" w:firstLine="576"/>
        <w:jc w:val="left"/>
      </w:pPr>
      <w:r>
        <w:rPr>
          <w:u w:val="single"/>
        </w:rPr>
        <w:t xml:space="preserve">(d) Provide a tree selection and siting tool for use by local jurisdictions; and</w:t>
      </w:r>
    </w:p>
    <w:p>
      <w:pPr>
        <w:spacing w:before="0" w:after="0" w:line="408" w:lineRule="exact"/>
        <w:ind w:left="0" w:right="0" w:firstLine="576"/>
        <w:jc w:val="left"/>
      </w:pPr>
      <w:r>
        <w:rPr>
          <w:u w:val="single"/>
        </w:rPr>
        <w:t xml:space="preserve">(e) Provide best practices for maintaining and growing newly planted trees within a tree bank, including by:</w:t>
      </w:r>
    </w:p>
    <w:p>
      <w:pPr>
        <w:spacing w:before="0" w:after="0" w:line="408" w:lineRule="exact"/>
        <w:ind w:left="0" w:right="0" w:firstLine="576"/>
        <w:jc w:val="left"/>
      </w:pPr>
      <w:r>
        <w:rPr>
          <w:u w:val="single"/>
        </w:rPr>
        <w:t xml:space="preserve">(i) Providing estimates of the cost to maintain and nurture newly planted trees to ensure their survival; and</w:t>
      </w:r>
    </w:p>
    <w:p>
      <w:pPr>
        <w:spacing w:before="0" w:after="0" w:line="408" w:lineRule="exact"/>
        <w:ind w:left="0" w:right="0" w:firstLine="576"/>
        <w:jc w:val="left"/>
      </w:pPr>
      <w:r>
        <w:rPr>
          <w:u w:val="single"/>
        </w:rPr>
        <w:t xml:space="preserve">(ii) Providing alternative methods for covering those costs, including through the imposition of an appropriate fee related to the use of the tree bank, to ensure that sufficient funds will be available to cover the costs of maintaining and nurturing the newly planted trees.</w:t>
      </w:r>
    </w:p>
    <w:p>
      <w:pPr>
        <w:spacing w:before="0" w:after="0" w:line="408" w:lineRule="exact"/>
        <w:ind w:left="0" w:right="0" w:firstLine="576"/>
        <w:jc w:val="left"/>
      </w:pPr>
      <w:r>
        <w:rPr>
          <w:u w:val="single"/>
        </w:rPr>
        <w:t xml:space="preserve">(7) Subject to the availability of amounts appropriated for this specific purpose, the department shall develop and administer a grant program to provide grants to cities and counties that adopt, without substantive changes, the model urban forestry ordinances produced by the department, for the purpose of implementing the requirements of the ordinances. The department may also award grants to a county or city that has adopted, prior to the effective date of this section, ordinances for urban forestry that the department determines, in its discretion, are substantially similar to the model ordinances produced by the department, for the purpose of implementing the county's or city's ordinances.</w:t>
      </w:r>
    </w:p>
    <w:p>
      <w:pPr>
        <w:spacing w:before="0" w:after="0" w:line="408" w:lineRule="exact"/>
        <w:ind w:left="0" w:right="0" w:firstLine="576"/>
        <w:jc w:val="left"/>
      </w:pPr>
      <w:r>
        <w:rPr>
          <w:u w:val="single"/>
        </w:rPr>
        <w:t xml:space="preserve">(8)</w:t>
      </w:r>
      <w:r>
        <w:rPr/>
        <w:t xml:space="preserve">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Delivery of resources must be targeted based on the analysis and prioritization provided in RCW 76.15.100.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d29121e49f594e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b477aa6dc4a23" /><Relationship Type="http://schemas.openxmlformats.org/officeDocument/2006/relationships/footer" Target="/word/footer1.xml" Id="Rd29121e49f594e88" /></Relationships>
</file>