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4b9f3211d04d29" /></Relationships>
</file>

<file path=word/document.xml><?xml version="1.0" encoding="utf-8"?>
<w:document xmlns:w="http://schemas.openxmlformats.org/wordprocessingml/2006/main">
  <w:body>
    <w:p>
      <w:r>
        <w:t>H-0290.1</w:t>
      </w:r>
    </w:p>
    <w:p>
      <w:pPr>
        <w:jc w:val="center"/>
      </w:pPr>
      <w:r>
        <w:t>_______________________________________________</w:t>
      </w:r>
    </w:p>
    <w:p/>
    <w:p>
      <w:pPr>
        <w:jc w:val="center"/>
      </w:pPr>
      <w:r>
        <w:rPr>
          <w:b/>
        </w:rPr>
        <w:t>HOUSE BILL 1079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Slatter, and Ryu</w:t>
      </w:r>
    </w:p>
    <w:p/>
    <w:p>
      <w:r>
        <w:rPr>
          <w:t xml:space="preserve">Prefiled 12/23/22.</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rapid whole genome sequencing; amending RCW 74.09.520 and 28B.20.830;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Effective January 1, 2024, the authority shall require provider payment for rapid whole genome sequencing for enrollees age 21 and younger in accordance with medical necessity criteria adopted, and revised as necessary to account for clinical developments, by the authority following consideration of standards developed by the American college of medical genetics and genomics as well as hospitals in Washington that predominantly serve children.</w:t>
      </w:r>
    </w:p>
    <w:p>
      <w:pPr>
        <w:spacing w:before="0" w:after="0" w:line="408" w:lineRule="exact"/>
        <w:ind w:left="0" w:right="0" w:firstLine="576"/>
        <w:jc w:val="left"/>
      </w:pPr>
      <w:r>
        <w:rPr>
          <w:u w:val="single"/>
        </w:rPr>
        <w:t xml:space="preserve">(b) For the purposes of this subsection (12), "rapid whole genome sequencing" means the unbiased sequencing of all deoxyribonucleic acid bases in the genome of a patient and, if for the sole benefit of the patient, a biological parent of such individual for the purpose of determining whether one or more potentially disease-causing genetic variants are present in the genome of the patient or the patient's biological parent. The term includes any analysis, interpretation, and data report derived from such sequencing.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2024, the Washington state health care authority shall submit to the committees of the legislature with jurisdiction over health policy matters a brief summary of the process used to adopt the medical necessity criteria for rapid whole genome sequencing under RCW 74.09.520(12) and the final medical necessity criteria.</w:t>
      </w:r>
    </w:p>
    <w:p>
      <w:pPr>
        <w:spacing w:before="0" w:after="0" w:line="408" w:lineRule="exact"/>
        <w:ind w:left="0" w:right="0" w:firstLine="576"/>
        <w:jc w:val="left"/>
      </w:pPr>
      <w:r>
        <w:rPr/>
        <w:t xml:space="preserve">(2)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2021 c 157 s 9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The collaborative must study the need for an established patient/provider relationship before providing audio-only telemedicine, including considering what types of services may be provided without an established relationship. By December 1, 2021, the collaborative must submit a report to the legislature on its recommendations regarding the need for an established relationship for audio-only telemedicine.</w:t>
      </w:r>
    </w:p>
    <w:p>
      <w:pPr>
        <w:spacing w:before="0" w:after="0" w:line="408" w:lineRule="exact"/>
        <w:ind w:left="0" w:right="0" w:firstLine="576"/>
        <w:jc w:val="left"/>
      </w:pPr>
      <w:r>
        <w:rPr/>
        <w:t xml:space="preserve">(7) </w:t>
      </w:r>
      <w:r>
        <w:rPr>
          <w:u w:val="single"/>
        </w:rPr>
        <w:t xml:space="preserve">The collaborative shall consider strategies to promote and expand the use of telemedicine to provide genetic counseling services, especially in rural parts of Washington. The collaborative shall provide a report to the governor and the relevant committees of the legislature by December 1, 2023, with a description of the obstacles to providing genetic counseling services through telemedicine and recommendations for promoting and expanding the use of telemedicine to provide genetic counseling services, especially in rural areas.</w:t>
      </w:r>
    </w:p>
    <w:p>
      <w:pPr>
        <w:spacing w:before="0" w:after="0" w:line="408" w:lineRule="exact"/>
        <w:ind w:left="0" w:right="0" w:firstLine="576"/>
        <w:jc w:val="left"/>
      </w:pPr>
      <w:r>
        <w:rPr>
          <w:u w:val="single"/>
        </w:rPr>
        <w:t xml:space="preserve">(8)</w:t>
      </w:r>
      <w:r>
        <w:rPr/>
        <w:t xml:space="preserve"> The future of the collaborative shall be reviewed by the legislature with consideration of ongoing technical assistance needs and opportunities. The collaborative terminates December 31, 2023.</w:t>
      </w:r>
    </w:p>
    <w:p/>
    <w:p>
      <w:pPr>
        <w:jc w:val="center"/>
      </w:pPr>
      <w:r>
        <w:rPr>
          <w:b/>
        </w:rPr>
        <w:t>--- END ---</w:t>
      </w:r>
    </w:p>
    <w:sectPr>
      <w:pgNumType w:start="1"/>
      <w:footerReference xmlns:r="http://schemas.openxmlformats.org/officeDocument/2006/relationships" r:id="R63642c2b1e0342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b6600dde14bef" /><Relationship Type="http://schemas.openxmlformats.org/officeDocument/2006/relationships/footer" Target="/word/footer1.xml" Id="R63642c2b1e0342d7" /></Relationships>
</file>