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aed36e184542ef" /></Relationships>
</file>

<file path=word/document.xml><?xml version="1.0" encoding="utf-8"?>
<w:document xmlns:w="http://schemas.openxmlformats.org/wordprocessingml/2006/main">
  <w:body>
    <w:p>
      <w:r>
        <w:t>H-0270.1</w:t>
      </w:r>
    </w:p>
    <w:p>
      <w:pPr>
        <w:jc w:val="center"/>
      </w:pPr>
      <w:r>
        <w:t>_______________________________________________</w:t>
      </w:r>
    </w:p>
    <w:p/>
    <w:p>
      <w:pPr>
        <w:jc w:val="center"/>
      </w:pPr>
      <w:r>
        <w:rPr>
          <w:b/>
        </w:rPr>
        <w:t>HOUSE BILL 1080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Taylor, Peterson, Simmons, Walen, Reed, Stearns, Berry, Pollet, Goodman, Orwall, Bergquist, Gregerson, and Thai</w:t>
      </w:r>
    </w:p>
    <w:p/>
    <w:p>
      <w:r>
        <w:rPr>
          <w:t xml:space="preserve">Prefiled 12/23/22.</w:t>
        </w:rPr>
      </w:r>
      <w:r>
        <w:rPr>
          <w:t xml:space="preserve">Read first time 01/09/23.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body worn cameras; and amending RCW 42.56.240.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2022 c 268 s 31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except that copies of license applications or information on the applications may be released to law enforcement or corrections agencies or to persons and entities as authorized under RCW 9.41.815;</w:t>
      </w:r>
    </w:p>
    <w:p>
      <w:pPr>
        <w:spacing w:before="0" w:after="0" w:line="408" w:lineRule="exact"/>
        <w:ind w:left="0" w:right="0" w:firstLine="576"/>
        <w:jc w:val="left"/>
      </w:pPr>
      <w:r>
        <w:rPr/>
        <w:t xml:space="preserve">(5) Information revealing the specific details that describe an alleged or proven child victim of sexual assault under age eighteen, or the identity or contact information of an alleged or proven child victim of sexual assault who is under age eighteen.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r>
        <w:rPr>
          <w:u w:val="single"/>
        </w:rPr>
        <w:t xml:space="preserve">, except that an agency may charge the requesting individual for such costs of redaction if the requesting individual is entitled to receive an unredacted copy under (f) of this subsection. Any individual receiving an unredacted copy under (f) of this subsection must not be required to pay costs for an unredacted copy</w:t>
      </w:r>
      <w:r>
        <w:rPr/>
        <w:t xml:space="preserve">.</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w:t>
      </w:r>
      <w:r>
        <w:rPr>
          <w:u w:val="single"/>
        </w:rPr>
        <w:t xml:space="preserve">Notwithstanding (a) and (e) of this subsection, an agency may provide an unredacted copy of body worn camera recordings to a defendant's attorney, attorneys, or defense agency in a criminal matter without the disclosure being considered highly offensive, if the defendant's attorney, attorneys, or defense agency would otherwise be entitled to receive an unredacted copy in the course of discovery in a criminal matter.</w:t>
      </w:r>
    </w:p>
    <w:p>
      <w:pPr>
        <w:spacing w:before="0" w:after="0" w:line="408" w:lineRule="exact"/>
        <w:ind w:left="0" w:right="0" w:firstLine="576"/>
        <w:jc w:val="left"/>
      </w:pPr>
      <w:r>
        <w:rPr>
          <w:u w:val="single"/>
        </w:rPr>
        <w:t xml:space="preserve">(ii) A defendant's attorney, attorneys, or defense agency in a criminal matter that receives an unredacted copy of a body worn camera recording pursuant to (f)(i) of this subsection:</w:t>
      </w:r>
    </w:p>
    <w:p>
      <w:pPr>
        <w:spacing w:before="0" w:after="0" w:line="408" w:lineRule="exact"/>
        <w:ind w:left="0" w:right="0" w:firstLine="576"/>
        <w:jc w:val="left"/>
      </w:pPr>
      <w:r>
        <w:rPr>
          <w:u w:val="single"/>
        </w:rPr>
        <w:t xml:space="preserve">(A) Shall sign a written agreement that the attorney, attorneys, or defense agency will: (I) Maintain exclusive custody of the unredacted recording, except that copies of the unredacted recording may be provided to others when authorized by this subsection (14)(f); (II) use the unredacted recording only for the purposes of conducting the defendant's side of the criminal case as if it had been furnished in discovery; and (III) treat the unredacted recording as confidential as a matter of law;</w:t>
      </w:r>
    </w:p>
    <w:p>
      <w:pPr>
        <w:spacing w:before="0" w:after="0" w:line="408" w:lineRule="exact"/>
        <w:ind w:left="0" w:right="0" w:firstLine="576"/>
        <w:jc w:val="left"/>
      </w:pPr>
      <w:r>
        <w:rPr>
          <w:u w:val="single"/>
        </w:rPr>
        <w:t xml:space="preserve">(B) May provide a copy of the body worn camera recording to the defendant after making redactions consistent with the requirements of this chapter;</w:t>
      </w:r>
    </w:p>
    <w:p>
      <w:pPr>
        <w:spacing w:before="0" w:after="0" w:line="408" w:lineRule="exact"/>
        <w:ind w:left="0" w:right="0" w:firstLine="576"/>
        <w:jc w:val="left"/>
      </w:pPr>
      <w:r>
        <w:rPr>
          <w:u w:val="single"/>
        </w:rPr>
        <w:t xml:space="preserve">(C) May provide a copy of the unredacted recording to consulting expert witnesses and defense investigators. Defense expert witnesses and investigators shall abide by the same conditions of disclosure as the defense attorney;</w:t>
      </w:r>
    </w:p>
    <w:p>
      <w:pPr>
        <w:spacing w:before="0" w:after="0" w:line="408" w:lineRule="exact"/>
        <w:ind w:left="0" w:right="0" w:firstLine="576"/>
        <w:jc w:val="left"/>
      </w:pPr>
      <w:r>
        <w:rPr>
          <w:u w:val="single"/>
        </w:rPr>
        <w:t xml:space="preserve">(D) May provide a copy of the unredacted recording to the court under seal and may use a copy of the unredacted recording during court proceedings conducted in camera or during a closed hearing, subject to the requirements of any order entered by the court; and</w:t>
      </w:r>
    </w:p>
    <w:p>
      <w:pPr>
        <w:spacing w:before="0" w:after="0" w:line="408" w:lineRule="exact"/>
        <w:ind w:left="0" w:right="0" w:firstLine="576"/>
        <w:jc w:val="left"/>
      </w:pPr>
      <w:r>
        <w:rPr>
          <w:u w:val="single"/>
        </w:rPr>
        <w:t xml:space="preserve">(E) Shall not disclose or publish the recording, except as authorized by this subsection (14)(f) or court order. Any requests by a third party to the defense, unrelated to the case, seeking access to or production of the unredacted recording, shall be referred to the original provider of the materials.</w:t>
      </w:r>
    </w:p>
    <w:p>
      <w:pPr>
        <w:spacing w:before="0" w:after="0" w:line="408" w:lineRule="exact"/>
        <w:ind w:left="0" w:right="0" w:firstLine="576"/>
        <w:jc w:val="left"/>
      </w:pPr>
      <w:r>
        <w:rPr>
          <w:u w:val="single"/>
        </w:rPr>
        <w:t xml:space="preserve">(iii) Unredacted body worn camera recordings provided under a written agreement pursuant to this subsection (14)(f) shall not be considered published or otherwise exposed to the public eye. Any violation of the written agreement or this subsection (14)(f) that results in redisclosure of unredacted body worn camera recordings is presumed to be highly offensive to the extent it depicts elements outlined in (a) of this subsection or is otherwise considered highly offensive under law. In any private cause of action resulting from improper redisclosure of the recordings, the attorney may not use the receipt of the recording under this subsection (14)(f) as a defense. A violation of the written agreement or this subsection (14)(f) may also result in sanctions under the civil or criminal court rules.</w:t>
      </w:r>
    </w:p>
    <w:p>
      <w:pPr>
        <w:spacing w:before="0" w:after="0" w:line="408" w:lineRule="exact"/>
        <w:ind w:left="0" w:right="0" w:firstLine="576"/>
        <w:jc w:val="left"/>
      </w:pPr>
      <w:r>
        <w:rPr>
          <w:u w:val="single"/>
        </w:rPr>
        <w:t xml:space="preserve">(g)(i)</w:t>
      </w:r>
      <w:r>
        <w:rPr/>
        <w:t xml:space="preserve">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w:t>
      </w:r>
      <w:r>
        <w:t>((</w:t>
      </w:r>
      <w:r>
        <w:rPr>
          <w:strike/>
        </w:rPr>
        <w:t xml:space="preserve">(f)</w:t>
      </w:r>
      <w:r>
        <w:t>))</w:t>
      </w:r>
      <w:r>
        <w:rPr/>
        <w:t xml:space="preserve"> </w:t>
      </w:r>
      <w:r>
        <w:rPr>
          <w:u w:val="single"/>
        </w:rPr>
        <w:t xml:space="preserve">(g)</w:t>
      </w:r>
      <w:r>
        <w:rPr/>
        <w:t xml:space="preserve">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w:t>
      </w:r>
      <w:r>
        <w:t>((</w:t>
      </w:r>
      <w:r>
        <w:rPr>
          <w:strike/>
        </w:rPr>
        <w:t xml:space="preserve">(f)</w:t>
      </w:r>
      <w:r>
        <w:t>))</w:t>
      </w:r>
      <w:r>
        <w:rPr/>
        <w:t xml:space="preserve"> </w:t>
      </w:r>
      <w:r>
        <w:rPr>
          <w:u w:val="single"/>
        </w:rPr>
        <w:t xml:space="preserve">(g)</w:t>
      </w:r>
      <w:r>
        <w:rPr/>
        <w:t xml:space="preserve">,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
      <w:pPr>
        <w:jc w:val="center"/>
      </w:pPr>
      <w:r>
        <w:rPr>
          <w:b/>
        </w:rPr>
        <w:t>--- END ---</w:t>
      </w:r>
    </w:p>
    <w:sectPr>
      <w:pgNumType w:start="1"/>
      <w:footerReference xmlns:r="http://schemas.openxmlformats.org/officeDocument/2006/relationships" r:id="Racf0b7db2a704e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0a39be759043dd" /><Relationship Type="http://schemas.openxmlformats.org/officeDocument/2006/relationships/footer" Target="/word/footer1.xml" Id="Racf0b7db2a704e81" /></Relationships>
</file>