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7327ac810498c" /></Relationships>
</file>

<file path=word/document.xml><?xml version="1.0" encoding="utf-8"?>
<w:document xmlns:w="http://schemas.openxmlformats.org/wordprocessingml/2006/main">
  <w:body>
    <w:p>
      <w:r>
        <w:t>H-1528.1</w:t>
      </w:r>
    </w:p>
    <w:p>
      <w:pPr>
        <w:jc w:val="center"/>
      </w:pPr>
      <w:r>
        <w:t>_______________________________________________</w:t>
      </w:r>
    </w:p>
    <w:p/>
    <w:p>
      <w:pPr>
        <w:jc w:val="center"/>
      </w:pPr>
      <w:r>
        <w:rPr>
          <w:b/>
        </w:rPr>
        <w:t>SECOND SUBSTITUTE HOUSE BILL 1205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Reed, and Senn)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responsibility for providing service by publication of a summons or notice in dependency and termination of parental rights cases; amending RCW 13.34.080;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w:t>
      </w:r>
      <w:r>
        <w:t>((</w:t>
      </w:r>
      <w:r>
        <w:rPr>
          <w:strike/>
        </w:rPr>
        <w:t xml:space="preserve">The</w:t>
      </w:r>
      <w:r>
        <w:t>))</w:t>
      </w:r>
    </w:p>
    <w:p>
      <w:pPr>
        <w:spacing w:before="0" w:after="0" w:line="408" w:lineRule="exact"/>
        <w:ind w:left="0" w:right="0" w:firstLine="576"/>
        <w:jc w:val="left"/>
      </w:pPr>
      <w:r>
        <w:rPr>
          <w:u w:val="single"/>
        </w:rPr>
        <w:t xml:space="preserve">(3)(a) Except as provided in (b) of this subsection, the</w:t>
      </w:r>
      <w:r>
        <w:rPr/>
        <w:t xml:space="preserv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w:t>
      </w:r>
    </w:p>
    <w:p>
      <w:pPr>
        <w:spacing w:before="0" w:after="0" w:line="408" w:lineRule="exact"/>
        <w:ind w:left="0" w:right="0" w:firstLine="576"/>
        <w:jc w:val="left"/>
      </w:pPr>
      <w:r>
        <w:rPr>
          <w:u w:val="single"/>
        </w:rPr>
        <w:t xml:space="preserve">(b) If the petitioner is a minor child or the court finds that the petitioner is an indigent parent or legal guardian, the cost of publication shall be paid or reimbursed by the office of civil legal aid where the petitioner is a minor child, or the office of public defense where the petitioner is a parent or legal guardian, pursuant to procedures set by each agency.</w:t>
      </w:r>
    </w:p>
    <w:p>
      <w:pPr>
        <w:spacing w:before="0" w:after="0" w:line="408" w:lineRule="exact"/>
        <w:ind w:left="0" w:right="0" w:firstLine="576"/>
        <w:jc w:val="left"/>
      </w:pPr>
      <w:r>
        <w:rPr>
          <w:u w:val="single"/>
        </w:rPr>
        <w:t xml:space="preserve">(4)</w:t>
      </w:r>
      <w:r>
        <w:rPr/>
        <w:t xml:space="preserve"> The publication of notice shall be deemed equivalent to personal service upon all persons, known or unknown, who have been designated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30404e9733749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8850b72884e7b" /><Relationship Type="http://schemas.openxmlformats.org/officeDocument/2006/relationships/footer" Target="/word/footer1.xml" Id="R030404e973374903" /></Relationships>
</file>