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3f6d34c93f460b" /></Relationships>
</file>

<file path=word/document.xml><?xml version="1.0" encoding="utf-8"?>
<w:document xmlns:w="http://schemas.openxmlformats.org/wordprocessingml/2006/main">
  <w:body>
    <w:p>
      <w:r>
        <w:t>Z-0279.1</w:t>
      </w:r>
    </w:p>
    <w:p>
      <w:pPr>
        <w:jc w:val="center"/>
      </w:pPr>
      <w:r>
        <w:t>_______________________________________________</w:t>
      </w:r>
    </w:p>
    <w:p/>
    <w:p>
      <w:pPr>
        <w:jc w:val="center"/>
      </w:pPr>
      <w:r>
        <w:rPr>
          <w:b/>
        </w:rPr>
        <w:t>HOUSE BILL 1206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Pollet, Walen, Leavitt, Orwall, Chapman, Rule, Ryu, Berry, Bateman, Berg, Ramel, Ormsby, Callan, Senn, Ortiz-Self, Fosse, Paul, and Thai; by request of Attorney General</w:t>
      </w:r>
    </w:p>
    <w:p/>
    <w:p>
      <w:r>
        <w:rPr>
          <w:t xml:space="preserve">Read first time 01/10/23.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 relief for newspaper publishers; amending RCW 82.04.260, 35.102.150, 82.04.460, and 82.08.806; adding a new section to chapter 82.04 RCW;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state's local newspapers and online digital news publishers are important providers of journalism in their communities. Across the state and the country, local newspapers are vanishing at an alarming rate.</w:t>
      </w:r>
    </w:p>
    <w:p>
      <w:pPr>
        <w:spacing w:before="0" w:after="0" w:line="408" w:lineRule="exact"/>
        <w:ind w:left="0" w:right="0" w:firstLine="576"/>
        <w:jc w:val="left"/>
      </w:pPr>
      <w:r>
        <w:rPr/>
        <w:t xml:space="preserve">Since the advent of the internet, Washington state newspapers, large and small, have experienced severe financial losses that caused layoffs and reduced journalistic capacity. Between 2005 and 2020, Washington state newspapers lost 67 percent of their newsroom employees. Many print media organizations operate at a deficit due to disruption of traditional revenue streams and even the surviving legacy news organizations are cutting staff and circulation. Washington state has lost more than two dozen weeklies and three dailies since 2004. The decline of these journalistic institutions represents a threat to democracy, government accountability, and civic engagement.</w:t>
      </w:r>
    </w:p>
    <w:p>
      <w:pPr>
        <w:spacing w:before="0" w:after="0" w:line="408" w:lineRule="exact"/>
        <w:ind w:left="0" w:right="0" w:firstLine="576"/>
        <w:jc w:val="left"/>
      </w:pPr>
      <w:r>
        <w:rPr/>
        <w:t xml:space="preserve">A Portland State University study found that the loss of local journalism is correlated to a decline in civic engagement, both nationally and in Washington state, which includes contacting a public office to express an opinion, participating in school groups, community associations, or civic organizations, and serving on a committee of any group or organization.</w:t>
      </w:r>
    </w:p>
    <w:p>
      <w:pPr>
        <w:spacing w:before="0" w:after="0" w:line="408" w:lineRule="exact"/>
        <w:ind w:left="0" w:right="0" w:firstLine="576"/>
        <w:jc w:val="left"/>
      </w:pPr>
      <w:r>
        <w:rPr/>
        <w:t xml:space="preserve">The legislature finds that local journalism can help keep watch over health trends in the community by identifying and preventing disease. The legislature finds that rural and underserved communities are the hardest hit in the area of public health when newspapers decline.</w:t>
      </w:r>
    </w:p>
    <w:p>
      <w:pPr>
        <w:spacing w:before="0" w:after="0" w:line="408" w:lineRule="exact"/>
        <w:ind w:left="0" w:right="0" w:firstLine="576"/>
        <w:jc w:val="left"/>
      </w:pPr>
      <w:r>
        <w:rPr/>
        <w:t xml:space="preserve">The legislature finds that local journalism helps combat government corruption and holds powerful institutions accountable. Studies have revealed a correlation between the loss of local journalism and higher taxes.</w:t>
      </w:r>
    </w:p>
    <w:p>
      <w:pPr>
        <w:spacing w:before="0" w:after="0" w:line="408" w:lineRule="exact"/>
        <w:ind w:left="0" w:right="0" w:firstLine="576"/>
        <w:jc w:val="left"/>
      </w:pPr>
      <w:r>
        <w:rPr/>
        <w:t xml:space="preserve">The legislature finds that community-focused online digital publishers provide a vital service to geographically remote and ethnically diverse communities by producing timely, community-focused information in an accessible format. Furthermore, local print and digital news sources are often the most accurate and accessible sources of news and community discourse.</w:t>
      </w:r>
    </w:p>
    <w:p>
      <w:pPr>
        <w:spacing w:before="0" w:after="0" w:line="408" w:lineRule="exact"/>
        <w:ind w:left="0" w:right="0" w:firstLine="576"/>
        <w:jc w:val="left"/>
      </w:pPr>
      <w:r>
        <w:rPr/>
        <w:t xml:space="preserve">Without legislative action, the current business and occupation tax preference for newspaper publishers will expire on July 1, 2024. By increasing this tax benefit and expanding eligibility to online publishers, the legislature intends to protect local newspapers and the multitude of benefits their services provide to enrich civic life, ensure accountability, and protect our state's democratic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computing the taxes imposed under this chapter, a person may deduct from the measure of tax amounts received for engaging in any of the following activities:</w:t>
      </w:r>
    </w:p>
    <w:p>
      <w:pPr>
        <w:spacing w:before="0" w:after="0" w:line="408" w:lineRule="exact"/>
        <w:ind w:left="0" w:right="0" w:firstLine="576"/>
        <w:jc w:val="left"/>
      </w:pPr>
      <w:r>
        <w:rPr/>
        <w:t xml:space="preserve">(a) Printing a newspaper, publishing a newspaper, or both; and</w:t>
      </w:r>
    </w:p>
    <w:p>
      <w:pPr>
        <w:spacing w:before="0" w:after="0" w:line="408" w:lineRule="exact"/>
        <w:ind w:left="0" w:right="0" w:firstLine="576"/>
        <w:jc w:val="left"/>
      </w:pPr>
      <w:r>
        <w:rPr/>
        <w:t xml:space="preserve">(b) Publishing eligible digital content, but only if the person's primary business activity is creating and publishing eligible digital content.</w:t>
      </w:r>
    </w:p>
    <w:p>
      <w:pPr>
        <w:spacing w:before="0" w:after="0" w:line="408" w:lineRule="exact"/>
        <w:ind w:left="0" w:right="0" w:firstLine="576"/>
        <w:jc w:val="left"/>
      </w:pPr>
      <w:r>
        <w:rPr/>
        <w:t xml:space="preserve">(2) In cases where a publisher charges a single, nonvariable amount to advertise in, subscribe to, or access content in both a publication identified in subsection (1) of this section and another type of publication, the entire amount of such charge is deductible under this section.</w:t>
      </w:r>
    </w:p>
    <w:p>
      <w:pPr>
        <w:spacing w:before="0" w:after="0" w:line="408" w:lineRule="exact"/>
        <w:ind w:left="0" w:right="0" w:firstLine="576"/>
        <w:jc w:val="left"/>
      </w:pPr>
      <w:r>
        <w:rPr/>
        <w:t xml:space="preserve">(3) A person claiming a deduction under this section must include the deductible amount in its gross income reported on its excise tax return.</w:t>
      </w:r>
    </w:p>
    <w:p>
      <w:pPr>
        <w:spacing w:before="0" w:after="0" w:line="408" w:lineRule="exact"/>
        <w:ind w:left="0" w:right="0" w:firstLine="576"/>
        <w:jc w:val="left"/>
      </w:pPr>
      <w:r>
        <w:rPr/>
        <w:t xml:space="preserve">(4)(a) For purposes of this section, "eligible digital content" means a publication that:</w:t>
      </w:r>
    </w:p>
    <w:p>
      <w:pPr>
        <w:spacing w:before="0" w:after="0" w:line="408" w:lineRule="exact"/>
        <w:ind w:left="0" w:right="0" w:firstLine="576"/>
        <w:jc w:val="left"/>
      </w:pPr>
      <w:r>
        <w:rPr/>
        <w:t xml:space="preserve">(i) Is published at regularly stated intervals at least once every three months;</w:t>
      </w:r>
    </w:p>
    <w:p>
      <w:pPr>
        <w:spacing w:before="0" w:after="0" w:line="408" w:lineRule="exact"/>
        <w:ind w:left="0" w:right="0" w:firstLine="576"/>
        <w:jc w:val="left"/>
      </w:pPr>
      <w:r>
        <w:rPr/>
        <w:t xml:space="preserve">(ii) Has at least two but no more than 50 employees, at least one of whom creates content for the publication;</w:t>
      </w:r>
    </w:p>
    <w:p>
      <w:pPr>
        <w:spacing w:before="0" w:after="0" w:line="408" w:lineRule="exact"/>
        <w:ind w:left="0" w:right="0" w:firstLine="576"/>
        <w:jc w:val="left"/>
      </w:pPr>
      <w:r>
        <w:rPr/>
        <w:t xml:space="preserve">(iii) Primarily features written content, the largest category of which contains material that identifies the author or the original source of the material; and</w:t>
      </w:r>
    </w:p>
    <w:p>
      <w:pPr>
        <w:spacing w:before="0" w:after="0" w:line="408" w:lineRule="exact"/>
        <w:ind w:left="0" w:right="0" w:firstLine="576"/>
        <w:jc w:val="left"/>
      </w:pPr>
      <w:r>
        <w:rPr/>
        <w:t xml:space="preserve">(iv) Is made available to readers primarily or exclusively in an electronic format.</w:t>
      </w:r>
    </w:p>
    <w:p>
      <w:pPr>
        <w:spacing w:before="0" w:after="0" w:line="408" w:lineRule="exact"/>
        <w:ind w:left="0" w:right="0" w:firstLine="576"/>
        <w:jc w:val="left"/>
      </w:pPr>
      <w:r>
        <w:rPr/>
        <w:t xml:space="preserve">(b) "Eligible digital content" does not include digital content created by a radio or television broadcaster as defined in RCW 82.08.0208.</w:t>
      </w:r>
    </w:p>
    <w:p>
      <w:pPr>
        <w:spacing w:before="0" w:after="0" w:line="408" w:lineRule="exact"/>
        <w:ind w:left="0" w:right="0" w:firstLine="576"/>
        <w:jc w:val="left"/>
      </w:pPr>
      <w:r>
        <w:rPr/>
        <w:t xml:space="preserve">(5) This section expires January 1, 2035.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2022 c 16 s 140 are each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2025,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Except as provided otherwise in (c)(iii) of this subsection, from July 1, 2025, until January 1, 2036,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cannabis-infused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2025,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cannabis, useable cannabis, or cannabis-infused products; and</w:t>
      </w:r>
    </w:p>
    <w:p>
      <w:pPr>
        <w:spacing w:before="0" w:after="0" w:line="408" w:lineRule="exact"/>
        <w:ind w:left="0" w:right="0" w:firstLine="576"/>
        <w:jc w:val="left"/>
      </w:pPr>
      <w:r>
        <w:rPr/>
        <w:t xml:space="preserve">(e) Wood biomass fuel; as to such persons the amount of tax with respect to the business is equal to the value of wood biomass fuel manufactured, multiplied by the rate of 0.138 percent. For the purposes of this section, "wood biomass fuel" means a liquid or gaseous fuel that is produced from lignocellulosic feedstocks, including wood, forest, or field residue and dedicated energy crops, and that does not include wood treated with chemical preservations such as creosote, pentachlorophenol, or copper-chrome-arsenic.</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(5)(a) Upon every person engaging within this state in the business of acting as a travel agent or tour operator and whose annual taxable amount for the prior calendar year from such business was two hundred fifty thousand dollars or less;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(b) Upon every person engaging within this state in the business of acting as a travel agent or tour operator and whose annual taxable amount for the prior calendar year from such business was more than two hundred fifty thousand dollars; as to such persons the amount of the tax with respect to such activities is equal to the gross income derived from such activities multiplied by the rate of 0.275 percent through June 30, 2019, and 0.9 percent beginning July 1, 2019.</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(8)(a) Upon every person engaging within this state in the business of disposing of low-level waste, as defined in RCW 70A.380.010; as to such persons the amount of the tax with respect to such business is equal to the gross income of the business, excluding any fees imposed under chapter 70A.384 RCW, multiplied by the rate of 3.3 percent.</w:t>
      </w:r>
    </w:p>
    <w:p>
      <w:pPr>
        <w:spacing w:before="0" w:after="0" w:line="408" w:lineRule="exact"/>
        <w:ind w:left="0" w:right="0" w:firstLine="576"/>
        <w:jc w:val="left"/>
      </w:pPr>
      <w:r>
        <w:rPr/>
        <w:t xml:space="preserve">(b)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w:t>
      </w:r>
    </w:p>
    <w:p>
      <w:pPr>
        <w:spacing w:before="0" w:after="0" w:line="408" w:lineRule="exact"/>
        <w:ind w:left="0" w:right="0" w:firstLine="576"/>
        <w:jc w:val="left"/>
      </w:pPr>
      <w:r>
        <w:rPr/>
        <w:t xml:space="preserve">(ii) 0.2904 percent beginning July 1, 2007, through March 31, 2020; and</w:t>
      </w:r>
    </w:p>
    <w:p>
      <w:pPr>
        <w:spacing w:before="0" w:after="0" w:line="408" w:lineRule="exact"/>
        <w:ind w:left="0" w:right="0" w:firstLine="576"/>
        <w:jc w:val="left"/>
      </w:pPr>
      <w:r>
        <w:rPr/>
        <w:t xml:space="preserve">(iii) Beginning April 1, 2020, 0.484 percent, subject to any reduction required under (e) of this subsection (11). The tax rate in this subsection (11)(a)(iii) applies to all business activities described in this subsection (11)(a).</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w:t>
      </w:r>
    </w:p>
    <w:p>
      <w:pPr>
        <w:spacing w:before="0" w:after="0" w:line="408" w:lineRule="exact"/>
        <w:ind w:left="0" w:right="0" w:firstLine="576"/>
        <w:jc w:val="left"/>
      </w:pPr>
      <w:r>
        <w:rPr/>
        <w:t xml:space="preserve">(i) 0.2904 percent through March 31, 2020; and</w:t>
      </w:r>
    </w:p>
    <w:p>
      <w:pPr>
        <w:spacing w:before="0" w:after="0" w:line="408" w:lineRule="exact"/>
        <w:ind w:left="0" w:right="0" w:firstLine="576"/>
        <w:jc w:val="left"/>
      </w:pPr>
      <w:r>
        <w:rPr/>
        <w:t xml:space="preserve">(ii) Beginning April 1, 2020, the following rates, which are subject to any reduction required under (e) of this subsection (11):</w:t>
      </w:r>
    </w:p>
    <w:p>
      <w:pPr>
        <w:spacing w:before="0" w:after="0" w:line="408" w:lineRule="exact"/>
        <w:ind w:left="0" w:right="0" w:firstLine="576"/>
        <w:jc w:val="left"/>
      </w:pPr>
      <w:r>
        <w:rPr/>
        <w:t xml:space="preserve">(A) The rate under RCW 82.04.250(1) on the business of making retail sales of tooling specifically designed for use in manufacturing commercial airplanes or components of such airplanes; and</w:t>
      </w:r>
    </w:p>
    <w:p>
      <w:pPr>
        <w:spacing w:before="0" w:after="0" w:line="408" w:lineRule="exact"/>
        <w:ind w:left="0" w:right="0" w:firstLine="576"/>
        <w:jc w:val="left"/>
      </w:pPr>
      <w:r>
        <w:rPr/>
        <w:t xml:space="preserve">(B) 0.484 percent on all other business activities described in this subsection (11)(b).</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(d)(i) In addition to all other requirements under this title, a person reporting under the tax rate provided in this subsection (11) must file a complete annual tax performance report with the department under RCW 82.32.534. However, this requirement does not apply to persons reporting under the tax rate in (a)(iii) of this subsection (11), so long as that rate remains 0.484 percent, or under any of the tax rates in (b)(ii)(A) and (B) of this subsection (11), so long as those tax rates remain the rate imposed pursuant to RCW 82.04.250(1) and 0.484 percent, respectively.</w:t>
      </w:r>
    </w:p>
    <w:p>
      <w:pPr>
        <w:spacing w:before="0" w:after="0" w:line="408" w:lineRule="exact"/>
        <w:ind w:left="0" w:right="0" w:firstLine="576"/>
        <w:jc w:val="left"/>
      </w:pPr>
      <w:r>
        <w:rPr/>
        <w:t xml:space="preserve">(ii) Nothing in (d)(i) of this subsection (11) may be construed as affecting the obligation of a person reporting under a tax rate provided in this subsection (11) to file a complete annual tax performance report with the department under RCW 82.32.534: (A) Pursuant to another provision of this title as a result of claiming a tax credit or exemption; or (B) pursuant to (d)(i) of this subsection (11) as a result of claiming the tax rates in (a)(ii) or (b)(i) of this subsection (11) for periods ending before April 1, 2020.</w:t>
      </w:r>
    </w:p>
    <w:p>
      <w:pPr>
        <w:spacing w:before="0" w:after="0" w:line="408" w:lineRule="exact"/>
        <w:ind w:left="0" w:right="0" w:firstLine="576"/>
        <w:jc w:val="left"/>
      </w:pPr>
      <w:r>
        <w:rPr/>
        <w:t xml:space="preserve">(e)(i) After March 31, 2021, the tax rates under (a)(iii) and (b)(ii) of this subsection (11) must be reduced to 0.357 percent provided the conditions in RCW 82.04.2602 are met. The effective date of the rates authorized under this subsection (11)(e) must occur on the first day of the next calendar quarter that is at least sixty days after the department receives the last of the two written notices pursuant to RCW 82.04.2602 (3) and (4).</w:t>
      </w:r>
    </w:p>
    <w:p>
      <w:pPr>
        <w:spacing w:before="0" w:after="0" w:line="408" w:lineRule="exact"/>
        <w:ind w:left="0" w:right="0" w:firstLine="576"/>
        <w:jc w:val="left"/>
      </w:pPr>
      <w:r>
        <w:rPr/>
        <w:t xml:space="preserve">(ii) Both a significant commercial airplane manufacturer separately and the rest of the aerospace industry as a whole, receiving the rate of 0.357 percent under this subsection (11)(e) are subject to the aerospace apprenticeship utilization rates required under RCW 49.04.220 by April 1, 2026, or five years after the effective date of the 0.357 percent rate authorized under this subsection (11)(e), whichever is later, as determined by the department of labor and industries.</w:t>
      </w:r>
    </w:p>
    <w:p>
      <w:pPr>
        <w:spacing w:before="0" w:after="0" w:line="408" w:lineRule="exact"/>
        <w:ind w:left="0" w:right="0" w:firstLine="576"/>
        <w:jc w:val="left"/>
      </w:pPr>
      <w:r>
        <w:rPr/>
        <w:t xml:space="preserve">(iii) The provisions of RCW 82.32.805 and 82.32.808 do not apply to this subsection (11)(e).</w:t>
      </w:r>
    </w:p>
    <w:p>
      <w:pPr>
        <w:spacing w:before="0" w:after="0" w:line="408" w:lineRule="exact"/>
        <w:ind w:left="0" w:right="0" w:firstLine="576"/>
        <w:jc w:val="left"/>
      </w:pPr>
      <w:r>
        <w:rPr/>
        <w:t xml:space="preserve">(f)(i) Except as provided in (f)(ii)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(11)(f)(ii) only applies to the manufacturing or sale of commercial airplanes that are the basis of a siting of a significant commercial airplane manufacturing program in the state under RCW 82.32.850. This subsection (11)(f)(ii) continues to apply during the time that a person is subject to the tax rate in (a)(iii) of this subsection (11).</w:t>
      </w:r>
    </w:p>
    <w:p>
      <w:pPr>
        <w:spacing w:before="0" w:after="0" w:line="408" w:lineRule="exact"/>
        <w:ind w:left="0" w:right="0" w:firstLine="576"/>
        <w:jc w:val="left"/>
      </w:pPr>
      <w:r>
        <w:rPr/>
        <w:t xml:space="preserve">(g) For the purposes of this subsection, "a significant commercial airplane manufacturer" means a manufacturer of commercial airplanes with at least fifty thousand full-time employees in Washington as of January 1, 2021.</w:t>
      </w:r>
    </w:p>
    <w:p>
      <w:pPr>
        <w:spacing w:before="0" w:after="0" w:line="408" w:lineRule="exact"/>
        <w:ind w:left="0" w:right="0" w:firstLine="576"/>
        <w:jc w:val="left"/>
      </w:pPr>
      <w:r>
        <w:rPr/>
        <w:t xml:space="preserve">(12)(a) Until July 1, 2045,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(b) Until July 1, 2045, upon every person engaging within this state in the business of manufacturing or processing for hire: (i) Timber into timber products or wood products; (ii) timber products into other timber products or wood products; or (iii) products defined in RCW 19.27.570(1);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(c) Until July 1, 2045, upon every person engaging within this state in the business of selling at wholesale: (i) Timber extracted by that person; (ii) timber products manufactured by that person from timber or other timber products; (iii) wood products manufactured by that person from timber or timber products; or (iv) products defined in RCW 19.27.570(1) manufactured by that person; as to such persons the amount of the tax with respect to the business is equal to the gross proceeds of sales of the timber, timber products, wood products, or products defined in RCW 19.27.570(1)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(d) Until July 1, 2045,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tax performance report with the department under RCW 82.32.534.</w:t>
      </w:r>
    </w:p>
    <w:p>
      <w:pPr>
        <w:spacing w:before="0" w:after="0" w:line="408" w:lineRule="exact"/>
        <w:ind w:left="0" w:right="0" w:firstLine="576"/>
        <w:jc w:val="left"/>
      </w:pPr>
      <w:r>
        <w:rPr/>
        <w:t xml:space="preserve">(g) Nothing in this subsection (12) may be construed to affect the taxation of any activity defined as a retail sale in RCW 82.04.050(2) (b) or (c), defined as a wholesale sale in RCW 82.04.060(2), or taxed under RCW 82.04.280(1)(g).</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t>((</w:t>
      </w:r>
      <w:r>
        <w:rPr>
          <w:strike/>
        </w:rPr>
        <w:t xml:space="preserve">(14)(a)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strike/>
        </w:rPr>
        <w:t xml:space="preserve">(b) A person reporting under the tax rate provided in this subsection (14) must file a complete annual tax performance report with the department under RCW 82.32.534.</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102</w:t>
      </w:r>
      <w:r>
        <w:rPr/>
        <w:t xml:space="preserve">.</w:t>
      </w:r>
      <w:r>
        <w:t xml:space="preserve">150</w:t>
      </w:r>
      <w:r>
        <w:rPr/>
        <w:t xml:space="preserve"> and 2011 c 174 s 201 are each amended to read as follows:</w:t>
      </w:r>
    </w:p>
    <w:p>
      <w:pPr>
        <w:spacing w:before="0" w:after="0" w:line="408" w:lineRule="exact"/>
        <w:ind w:left="0" w:right="0" w:firstLine="576"/>
        <w:jc w:val="left"/>
      </w:pPr>
      <w:r>
        <w:rPr/>
        <w:t xml:space="preserve">Notwithstanding RCW 35.102.130, a city that imposes a business and occupation tax must allocate a person's gross income from the activities of printing, and of publishing newspapers, periodicals, or magazines, to the principal place in this state from which the taxpayer's business is directed or managed. As used in this section, the activities of printing, and of publishing newspapers, periodicals, or magazines are those activities to which the </w:t>
      </w:r>
      <w:r>
        <w:rPr>
          <w:u w:val="single"/>
        </w:rPr>
        <w:t xml:space="preserve">deduction in section 2 of this act and the</w:t>
      </w:r>
      <w:r>
        <w:rPr/>
        <w:t xml:space="preserve"> tax rate</w:t>
      </w:r>
      <w:r>
        <w:t>((</w:t>
      </w:r>
      <w:r>
        <w:rPr>
          <w:strike/>
        </w:rPr>
        <w:t xml:space="preserve">s</w:t>
      </w:r>
      <w:r>
        <w:t>))</w:t>
      </w:r>
      <w:r>
        <w:rPr/>
        <w:t xml:space="preserve"> in RCW </w:t>
      </w:r>
      <w:r>
        <w:t>((</w:t>
      </w:r>
      <w:r>
        <w:rPr>
          <w:strike/>
        </w:rPr>
        <w:t xml:space="preserve">82.04.260(13) and</w:t>
      </w:r>
      <w:r>
        <w:t>))</w:t>
      </w:r>
      <w:r>
        <w:rPr/>
        <w:t xml:space="preserve"> 82.04.280(1)(a)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460</w:t>
      </w:r>
      <w:r>
        <w:rPr/>
        <w:t xml:space="preserve"> and 2014 c 97 s 304 are each amended to read as follows:</w:t>
      </w:r>
    </w:p>
    <w:p>
      <w:pPr>
        <w:spacing w:before="0" w:after="0" w:line="408" w:lineRule="exact"/>
        <w:ind w:left="0" w:right="0" w:firstLine="576"/>
        <w:jc w:val="left"/>
      </w:pPr>
      <w:r>
        <w:rPr/>
        <w:t xml:space="preserve">(1) Except as otherwise provided in this section, any person earning apportionable income taxable under this chapter and also taxable in another state must, for the purpose of computing tax liability under this chapter, apportion to this state, in accordance with RCW 82.04.462, that portion of the person's apportionable income derived from business activities performed within this state.</w:t>
      </w:r>
    </w:p>
    <w:p>
      <w:pPr>
        <w:spacing w:before="0" w:after="0" w:line="408" w:lineRule="exact"/>
        <w:ind w:left="0" w:right="0" w:firstLine="576"/>
        <w:jc w:val="left"/>
      </w:pPr>
      <w:r>
        <w:rPr/>
        <w:t xml:space="preserve">(2) The department must by rule provide a method of apportioning the apportionable income of financial institutions, where such apportionable income is taxable under RCW 82.04.290. The rule adopted by the department must, to the extent feasible, be consistent with the multistate tax commission's recommended formula for the apportionment and allocation of net income of financial institutions as existing on June 1, 2010, or such subsequent date as may be provided by the department by rule, consistent with the purposes of this section, except that:</w:t>
      </w:r>
    </w:p>
    <w:p>
      <w:pPr>
        <w:spacing w:before="0" w:after="0" w:line="408" w:lineRule="exact"/>
        <w:ind w:left="0" w:right="0" w:firstLine="576"/>
        <w:jc w:val="left"/>
      </w:pPr>
      <w:r>
        <w:rPr/>
        <w:t xml:space="preserve">(a) The department's rule must provide for a single factor apportionment method based on the receipts factor; and</w:t>
      </w:r>
    </w:p>
    <w:p>
      <w:pPr>
        <w:spacing w:before="0" w:after="0" w:line="408" w:lineRule="exact"/>
        <w:ind w:left="0" w:right="0" w:firstLine="576"/>
        <w:jc w:val="left"/>
      </w:pPr>
      <w:r>
        <w:rPr/>
        <w:t xml:space="preserve">(b) The definition of "financial institution" contained in appendix A to the multistate tax commission's recommended formula for the apportionment and allocation of net income of financial institutions is advisory only.</w:t>
      </w:r>
    </w:p>
    <w:p>
      <w:pPr>
        <w:spacing w:before="0" w:after="0" w:line="408" w:lineRule="exact"/>
        <w:ind w:left="0" w:right="0" w:firstLine="576"/>
        <w:jc w:val="left"/>
      </w:pPr>
      <w:r>
        <w:rPr/>
        <w:t xml:space="preserve">(3) The department may by rule provide a method or methods of apportioning or allocating gross income derived from sales of telecommunications service and competitive telephone service taxed under this chapter, if the gross proceeds of sales subject to tax under this chapter do not fairly represent the extent of the taxpayer's income attributable to this state. The rule must provide for an equitable and constitutionally permissible division of the tax base.</w:t>
      </w:r>
    </w:p>
    <w:p>
      <w:pPr>
        <w:spacing w:before="0" w:after="0" w:line="408" w:lineRule="exact"/>
        <w:ind w:left="0" w:right="0" w:firstLine="576"/>
        <w:jc w:val="left"/>
      </w:pPr>
      <w:r>
        <w:rPr/>
        <w:t xml:space="preserve">(4) For purposes of this section, the following definitions apply unless the context clearly requires otherwise:</w:t>
      </w:r>
    </w:p>
    <w:p>
      <w:pPr>
        <w:spacing w:before="0" w:after="0" w:line="408" w:lineRule="exact"/>
        <w:ind w:left="0" w:right="0" w:firstLine="576"/>
        <w:jc w:val="left"/>
      </w:pPr>
      <w:r>
        <w:rPr/>
        <w:t xml:space="preserve">(a) "Apportionable income" means gross income of the business generated from engaging in apportionable activities, including income received from apportionable activities performed outside this state if the income would be taxable under this chapter if received from activities in this state, less the exemptions and deductions allowable under this chapter. For purposes of this subsection, "apportionable activities" means only those activities taxed under:</w:t>
      </w:r>
    </w:p>
    <w:p>
      <w:pPr>
        <w:spacing w:before="0" w:after="0" w:line="408" w:lineRule="exact"/>
        <w:ind w:left="0" w:right="0" w:firstLine="576"/>
        <w:jc w:val="left"/>
      </w:pPr>
      <w:r>
        <w:rPr/>
        <w:t xml:space="preserve">(i) RCW 82.04.255;</w:t>
      </w:r>
    </w:p>
    <w:p>
      <w:pPr>
        <w:spacing w:before="0" w:after="0" w:line="408" w:lineRule="exact"/>
        <w:ind w:left="0" w:right="0" w:firstLine="576"/>
        <w:jc w:val="left"/>
      </w:pPr>
      <w:r>
        <w:rPr/>
        <w:t xml:space="preserve">(ii) RCW 82.04.260 (3), (5), (6), (7), (8), (9), (10), and (13);</w:t>
      </w:r>
    </w:p>
    <w:p>
      <w:pPr>
        <w:spacing w:before="0" w:after="0" w:line="408" w:lineRule="exact"/>
        <w:ind w:left="0" w:right="0" w:firstLine="576"/>
        <w:jc w:val="left"/>
      </w:pPr>
      <w:r>
        <w:rPr/>
        <w:t xml:space="preserve">(iii) RCW 82.04.280(1)(e);</w:t>
      </w:r>
    </w:p>
    <w:p>
      <w:pPr>
        <w:spacing w:before="0" w:after="0" w:line="408" w:lineRule="exact"/>
        <w:ind w:left="0" w:right="0" w:firstLine="576"/>
        <w:jc w:val="left"/>
      </w:pPr>
      <w:r>
        <w:rPr/>
        <w:t xml:space="preserve">(iv) RCW 82.04.285;</w:t>
      </w:r>
    </w:p>
    <w:p>
      <w:pPr>
        <w:spacing w:before="0" w:after="0" w:line="408" w:lineRule="exact"/>
        <w:ind w:left="0" w:right="0" w:firstLine="576"/>
        <w:jc w:val="left"/>
      </w:pPr>
      <w:r>
        <w:rPr/>
        <w:t xml:space="preserve">(v) RCW 82.04.286;</w:t>
      </w:r>
    </w:p>
    <w:p>
      <w:pPr>
        <w:spacing w:before="0" w:after="0" w:line="408" w:lineRule="exact"/>
        <w:ind w:left="0" w:right="0" w:firstLine="576"/>
        <w:jc w:val="left"/>
      </w:pPr>
      <w:r>
        <w:rPr/>
        <w:t xml:space="preserve">(vi) RCW 82.04.290;</w:t>
      </w:r>
    </w:p>
    <w:p>
      <w:pPr>
        <w:spacing w:before="0" w:after="0" w:line="408" w:lineRule="exact"/>
        <w:ind w:left="0" w:right="0" w:firstLine="576"/>
        <w:jc w:val="left"/>
      </w:pPr>
      <w:r>
        <w:rPr/>
        <w:t xml:space="preserve">(vii) RCW 82.04.2907;</w:t>
      </w:r>
    </w:p>
    <w:p>
      <w:pPr>
        <w:spacing w:before="0" w:after="0" w:line="408" w:lineRule="exact"/>
        <w:ind w:left="0" w:right="0" w:firstLine="576"/>
        <w:jc w:val="left"/>
      </w:pPr>
      <w:r>
        <w:rPr/>
        <w:t xml:space="preserve">(viii) RCW 82.04.2908;</w:t>
      </w:r>
    </w:p>
    <w:p>
      <w:pPr>
        <w:spacing w:before="0" w:after="0" w:line="408" w:lineRule="exact"/>
        <w:ind w:left="0" w:right="0" w:firstLine="576"/>
        <w:jc w:val="left"/>
      </w:pPr>
      <w:r>
        <w:rPr/>
        <w:t xml:space="preserve">(ix) RCW 82.04.263, but only to the extent of any activity that would be taxable under any of the provisions enumerated under (a)(i) through (viii) of this subsection (4) if the tax classification in RCW 82.04.263 did not exist; and</w:t>
      </w:r>
    </w:p>
    <w:p>
      <w:pPr>
        <w:spacing w:before="0" w:after="0" w:line="408" w:lineRule="exact"/>
        <w:ind w:left="0" w:right="0" w:firstLine="576"/>
        <w:jc w:val="left"/>
      </w:pPr>
      <w:r>
        <w:rPr/>
        <w:t xml:space="preserve">(x) RCW </w:t>
      </w:r>
      <w:r>
        <w:t>((</w:t>
      </w:r>
      <w:r>
        <w:rPr>
          <w:strike/>
        </w:rPr>
        <w:t xml:space="preserve">82.04.260(14) and</w:t>
      </w:r>
      <w:r>
        <w:t>))</w:t>
      </w:r>
      <w:r>
        <w:rPr/>
        <w:t xml:space="preserve"> 82.04.280(1)(a) </w:t>
      </w:r>
      <w:r>
        <w:rPr>
          <w:u w:val="single"/>
        </w:rPr>
        <w:t xml:space="preserve">or deductible under section 2 of this act</w:t>
      </w:r>
      <w:r>
        <w:rPr/>
        <w:t xml:space="preserve">, but only with respect to advertising.</w:t>
      </w:r>
    </w:p>
    <w:p>
      <w:pPr>
        <w:spacing w:before="0" w:after="0" w:line="408" w:lineRule="exact"/>
        <w:ind w:left="0" w:right="0" w:firstLine="576"/>
        <w:jc w:val="left"/>
      </w:pPr>
      <w:r>
        <w:rPr/>
        <w:t xml:space="preserve">(b)(i) "Taxable in another state" means that the taxpayer is subject to a business activities tax by another state on its income received from engaging in apportionable activities; or the taxpayer is not subject to a business activities tax by another state on its income received from engaging in apportionable activities, but any other state has jurisdiction to subject the taxpayer to a business activities tax on such income under the substantial nexus standards in RCW 82.04.067(1).</w:t>
      </w:r>
    </w:p>
    <w:p>
      <w:pPr>
        <w:spacing w:before="0" w:after="0" w:line="408" w:lineRule="exact"/>
        <w:ind w:left="0" w:right="0" w:firstLine="576"/>
        <w:jc w:val="left"/>
      </w:pPr>
      <w:r>
        <w:rPr/>
        <w:t xml:space="preserve">(ii) For purposes of this subsection (4)(b), "business activities tax" and "state" have the same meaning as in RCW 82.04.462.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806</w:t>
      </w:r>
      <w:r>
        <w:rPr/>
        <w:t xml:space="preserve"> and 2020 c 139 s 16 are each amended to read as follows:</w:t>
      </w:r>
    </w:p>
    <w:p>
      <w:pPr>
        <w:spacing w:before="0" w:after="0" w:line="408" w:lineRule="exact"/>
        <w:ind w:left="0" w:right="0" w:firstLine="576"/>
        <w:jc w:val="left"/>
      </w:pPr>
      <w:r>
        <w:rPr/>
        <w:t xml:space="preserve">(1) The tax levied by RCW 82.08.020 does not apply to sales, to a printer or publisher, of computer equipment, including repair parts and replacement parts for such equipment, when the computer equipment is used primarily in the printing or publishing of any printed material, or to sales of or charges made for labor and services rendered in respect to installing, repairing, cleaning, altering, or improving the computer equipment. This exemption applies only to computer equipment not otherwise exempt under RCW 82.08.02565.</w:t>
      </w:r>
    </w:p>
    <w:p>
      <w:pPr>
        <w:spacing w:before="0" w:after="0" w:line="408" w:lineRule="exact"/>
        <w:ind w:left="0" w:right="0" w:firstLine="576"/>
        <w:jc w:val="left"/>
      </w:pPr>
      <w:r>
        <w:rPr/>
        <w:t xml:space="preserve">(2) A person taking the exemption under this section must keep records necessary for the department to verify eligibility under this section. This exemption is available only when the purchaser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The definitions in this subsection (3) apply throughout this section, unless the context clearly requires otherwise.</w:t>
      </w:r>
    </w:p>
    <w:p>
      <w:pPr>
        <w:spacing w:before="0" w:after="0" w:line="408" w:lineRule="exact"/>
        <w:ind w:left="0" w:right="0" w:firstLine="576"/>
        <w:jc w:val="left"/>
      </w:pPr>
      <w:r>
        <w:rPr/>
        <w:t xml:space="preserve">(a) "Computer" has the same meaning as in RCW 82.04.215.</w:t>
      </w:r>
    </w:p>
    <w:p>
      <w:pPr>
        <w:spacing w:before="0" w:after="0" w:line="408" w:lineRule="exact"/>
        <w:ind w:left="0" w:right="0" w:firstLine="576"/>
        <w:jc w:val="left"/>
      </w:pPr>
      <w:r>
        <w:rPr/>
        <w:t xml:space="preserve">(b) "Computer equipment" means a computer and the associated physical components that constitute a computer system, including monitors, keyboards, printers, modems, scanners, pointing devices, and other computer peripheral equipment, cables, servers, and routers. "Computer equipment" also includes digital cameras and computer software.</w:t>
      </w:r>
    </w:p>
    <w:p>
      <w:pPr>
        <w:spacing w:before="0" w:after="0" w:line="408" w:lineRule="exact"/>
        <w:ind w:left="0" w:right="0" w:firstLine="576"/>
        <w:jc w:val="left"/>
      </w:pPr>
      <w:r>
        <w:rPr/>
        <w:t xml:space="preserve">(c) "Computer software" has the same meaning as in RCW 82.04.215.</w:t>
      </w:r>
    </w:p>
    <w:p>
      <w:pPr>
        <w:spacing w:before="0" w:after="0" w:line="408" w:lineRule="exact"/>
        <w:ind w:left="0" w:right="0" w:firstLine="576"/>
        <w:jc w:val="left"/>
      </w:pPr>
      <w:r>
        <w:rPr/>
        <w:t xml:space="preserve">(d) "Primarily" means greater than fifty percent as measured by time.</w:t>
      </w:r>
    </w:p>
    <w:p>
      <w:pPr>
        <w:spacing w:before="0" w:after="0" w:line="408" w:lineRule="exact"/>
        <w:ind w:left="0" w:right="0" w:firstLine="576"/>
        <w:jc w:val="left"/>
      </w:pPr>
      <w:r>
        <w:rPr/>
        <w:t xml:space="preserve">(e) "Printer or publisher" means a person, as defined in RCW 82.04.030, who is subject to tax under RCW </w:t>
      </w:r>
      <w:r>
        <w:t>((</w:t>
      </w:r>
      <w:r>
        <w:rPr>
          <w:strike/>
        </w:rPr>
        <w:t xml:space="preserve">82.04.260(14) or</w:t>
      </w:r>
      <w:r>
        <w:t>))</w:t>
      </w:r>
      <w:r>
        <w:rPr/>
        <w:t xml:space="preserve"> 82.04.280(1)(a) </w:t>
      </w:r>
      <w:r>
        <w:rPr>
          <w:u w:val="single"/>
        </w:rPr>
        <w:t xml:space="preserve">or is eligible to claim the deduction under section 2 of this act</w:t>
      </w:r>
      <w:r>
        <w:rPr/>
        <w:t xml:space="preserve">.</w:t>
      </w:r>
    </w:p>
    <w:p>
      <w:pPr>
        <w:spacing w:before="0" w:after="0" w:line="408" w:lineRule="exact"/>
        <w:ind w:left="0" w:right="0" w:firstLine="576"/>
        <w:jc w:val="left"/>
      </w:pPr>
      <w:r>
        <w:rPr/>
        <w:t xml:space="preserve">(4) "Computer equipment" does not include computer equipment that is used primarily for administrative purposes including but not limited to payroll processing, accounting, customer service, telemarketing, and collection. If computer equipment is used simultaneously for administrative and nonadministrative purposes, the administrative use must be disregarded during the period of simultaneous use for purposes of determining whether the computer equipment is used primarily for administrative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 chapter . . ., Laws of 2023 (section 2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and to create or retain jobs, as indicated in RCW 82.32.808(2) (c) and (e).</w:t>
      </w:r>
    </w:p>
    <w:p>
      <w:pPr>
        <w:spacing w:before="0" w:after="0" w:line="408" w:lineRule="exact"/>
        <w:ind w:left="0" w:right="0" w:firstLine="576"/>
        <w:jc w:val="left"/>
      </w:pPr>
      <w:r>
        <w:rPr/>
        <w:t xml:space="preserve">(3) It is the legislature's specific public policy objective to protect and support local journalism.</w:t>
      </w:r>
    </w:p>
    <w:p>
      <w:pPr>
        <w:spacing w:before="0" w:after="0" w:line="408" w:lineRule="exact"/>
        <w:ind w:left="0" w:right="0" w:firstLine="576"/>
        <w:jc w:val="left"/>
      </w:pPr>
      <w:r>
        <w:rPr/>
        <w:t xml:space="preserve">(4) If a review finds that the tax preference accomplishes its goal of supporting local journalism across the state, measured by retaining 75 percent of the journalism jobs, local newspapers, and community-focused online news outlets based in Washington as of December 31, 2022, or if a review finds that the tax preference enables locally based journalism outlets to continue to exist when compared to states that did not provide similar tax incentives, then the legislature intends to extend the expiration date of this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4333da8f673e4ed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a95c79463c4f6a" /><Relationship Type="http://schemas.openxmlformats.org/officeDocument/2006/relationships/footer" Target="/word/footer1.xml" Id="R4333da8f673e4ed3" /></Relationships>
</file>