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74e7615f8a4d34" /></Relationships>
</file>

<file path=word/document.xml><?xml version="1.0" encoding="utf-8"?>
<w:document xmlns:w="http://schemas.openxmlformats.org/wordprocessingml/2006/main">
  <w:body>
    <w:p>
      <w:r>
        <w:t>H-0875.1</w:t>
      </w:r>
    </w:p>
    <w:p>
      <w:pPr>
        <w:jc w:val="center"/>
      </w:pPr>
      <w:r>
        <w:t>_______________________________________________</w:t>
      </w:r>
    </w:p>
    <w:p/>
    <w:p>
      <w:pPr>
        <w:jc w:val="center"/>
      </w:pPr>
      <w:r>
        <w:rPr>
          <w:b/>
        </w:rPr>
        <w:t>SUBSTITUTE HOUSE BILL 1207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Education (originally sponsored by Representatives Senn, Rude, Fey, Reed, Bergquist, Ramel, Doglio, Callan, Thai, and Pollet)</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and responding to harassment, intimidation, bullying, and discrimination in schools by requiring distribution of related policies and complaint procedures, designation of a primary contact for compliance with nondiscrimination laws, and changing a prejudicial student discipline term; amending RCW 28A.300.042 and 28A.600.015; adding a new section to chapter 28A.300 RCW; adding a new section to chapter 28A.642 RCW; and adding a new section to chapter 28A.600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develop, and periodically update, model student handbook language that includes information about policies and complaint procedures related to discrimination, including sexual harassment, and information about policies and complaint procedures related to harassment, intimidation, and bullying, as well as the overlap between the policies and complaint procedures. The model student handbook language must also include a description of the services available through the office of the education ombuds and the contact information for the office of the education ombuds. The model student handbook language must be jointly developed with the Washington state school directors' association, and in consultation with the office of the education ombuds. The model student handbook language must be posted publicly on the office of the superintendent of public instruction's website beginning July 1, 2024.</w:t>
      </w:r>
    </w:p>
    <w:p>
      <w:pPr>
        <w:spacing w:before="0" w:after="0" w:line="408" w:lineRule="exact"/>
        <w:ind w:left="0" w:right="0" w:firstLine="576"/>
        <w:jc w:val="left"/>
      </w:pPr>
      <w:r>
        <w:rPr/>
        <w:t xml:space="preserve">(2) Beginning with the 2024-25 school year, each school district must include the model student handbook language developed under subsection (1) of this section in any student, parent, employee, and volunteer handbook that it or one of its schools publishes and on the school district's website, and any school's website, if a school or the school district maintains a website. If a school district neither publishes a handbook nor maintains a website, it must provide the model student handbook language developed under subsection (1) of this section to each student, parent, employee, and volunteer at least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642</w:t>
      </w:r>
      <w:r>
        <w:rPr/>
        <w:t xml:space="preserve"> RCW</w:t>
      </w:r>
      <w:r>
        <w:rPr/>
        <w:t xml:space="preserve"> to read as follows:</w:t>
      </w:r>
    </w:p>
    <w:p>
      <w:pPr>
        <w:spacing w:before="0" w:after="0" w:line="408" w:lineRule="exact"/>
        <w:ind w:left="0" w:right="0" w:firstLine="576"/>
        <w:jc w:val="left"/>
      </w:pPr>
      <w:r>
        <w:rPr/>
        <w:t xml:space="preserve">Each school district shall designate one person in the school district as the primary contact regarding school district compliance with this chapter. In addition to any other duties required by law and the school district, the primary contact must:</w:t>
      </w:r>
    </w:p>
    <w:p>
      <w:pPr>
        <w:spacing w:before="0" w:after="0" w:line="408" w:lineRule="exact"/>
        <w:ind w:left="0" w:right="0" w:firstLine="576"/>
        <w:jc w:val="left"/>
      </w:pPr>
      <w:r>
        <w:rPr/>
        <w:t xml:space="preserve">(1) Ensure that complaints of discrimination communicated to the school district are promptly investigated and resolved; and</w:t>
      </w:r>
    </w:p>
    <w:p>
      <w:pPr>
        <w:spacing w:before="0" w:after="0" w:line="408" w:lineRule="exact"/>
        <w:ind w:left="0" w:right="0" w:firstLine="576"/>
        <w:jc w:val="left"/>
      </w:pPr>
      <w:r>
        <w:rPr/>
        <w:t xml:space="preserve">(2) Communicate with the primary contact regarding the school district's policy and procedure prohibiting harassment, intimidation, and bullying under RCW 28A.600.477, and the primary contact regarding the school district's policies and procedures related to transgender students under RCW 28A.642.080.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legislature recognizes that public schools have the authority to immediately remove a student from school if the student poses an immediate and continuing danger to other students or to school staff, or if the student poses an immediate and continuing threat of material and substantial disruption of the education process. The legislature acknowledges that emergency expulsion is limited to 10 consecutive school days, the school must provide an opportunity for the student to receive educational services during the emergency expulsion, and both the emergency expulsion and any suspension or expulsion that the emergency expulsion is converted to can be appealed. However, the legislature finds that emergency expulsion tarnishes a student's reputation and self-image, which can result in school staff, fellow students, or the student's families making assumptions about the student, and, in some cases, these assumptions result in harassment, intimidation, or bullying of the student. Therefore, the legislature intends to discontinue the use of the prejudicial term "emergency expulsion," and replace it with the term "emergency removal," which is a more accurate description of the temporary removal of a student from school to assess and properly respond to an emergent situation involving the student.</w:t>
      </w:r>
    </w:p>
    <w:p>
      <w:pPr>
        <w:spacing w:before="0" w:after="0" w:line="408" w:lineRule="exact"/>
        <w:ind w:left="0" w:right="0" w:firstLine="576"/>
        <w:jc w:val="left"/>
      </w:pPr>
      <w:r>
        <w:rPr/>
        <w:t xml:space="preserve">(2) As soon as possible after the effective date of this section, the office of the superintendent of public instruction must publish a bulletin to notify school districts and public schools that the term "emergency removal" must be used instead of the term "emergency expulsion" in the context of student discipline and as required by sections 4 and 5 of this act. The legislature's intent as described in subsection (1) of this section must be included in the bulletin. The bulletin must also include guidance about student discipline data collection and historical data comparison.</w:t>
      </w:r>
    </w:p>
    <w:p>
      <w:pPr>
        <w:spacing w:before="0" w:after="0" w:line="408" w:lineRule="exact"/>
        <w:ind w:left="0" w:right="0" w:firstLine="576"/>
        <w:jc w:val="left"/>
      </w:pPr>
      <w:r>
        <w:rPr/>
        <w:t xml:space="preserve">(3) A student who was emergency expelled between September 1, 2019, and the effective date of this section may request that any reference to "emergency expulsion" in the student's education record be revised to "emergency removal."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2016 c 72 s 501 are each amended to read as follows:</w:t>
      </w:r>
    </w:p>
    <w:p>
      <w:pPr>
        <w:spacing w:before="0" w:after="0" w:line="408" w:lineRule="exact"/>
        <w:ind w:left="0" w:right="0" w:firstLine="576"/>
        <w:jc w:val="left"/>
      </w:pPr>
      <w:r>
        <w:rPr/>
        <w:t xml:space="preserve">(1) Beginning with the 2017-18 school year, and using the phase-in provided in subsection (2) of this section,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t xml:space="preserve">(b) Further disaggregation of countries of origin for Asian students;</w:t>
      </w:r>
    </w:p>
    <w:p>
      <w:pPr>
        <w:spacing w:before="0" w:after="0" w:line="408" w:lineRule="exact"/>
        <w:ind w:left="0" w:right="0" w:firstLine="576"/>
        <w:jc w:val="left"/>
      </w:pPr>
      <w:r>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t xml:space="preserve">(d) For students who report as multiracial, collection of their racial and ethnic combination of categories.</w:t>
      </w:r>
    </w:p>
    <w:p>
      <w:pPr>
        <w:spacing w:before="0" w:after="0" w:line="408" w:lineRule="exact"/>
        <w:ind w:left="0" w:right="0" w:firstLine="576"/>
        <w:jc w:val="left"/>
      </w:pPr>
      <w:r>
        <w:rPr/>
        <w:t xml:space="preserve">(2) Beginning with the 2017-18 school year,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t xml:space="preserve">(3)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rPr/>
        <w:t xml:space="preserve">(4) All student data-related reports prepared by the superintendent of public instruction regarding student suspensions and expulsions as required under this title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w:t>
      </w:r>
      <w:r>
        <w:t>((</w:t>
      </w:r>
      <w:r>
        <w:rPr>
          <w:strike/>
        </w:rPr>
        <w:t xml:space="preserve">expulsion</w:t>
      </w:r>
      <w:r>
        <w:t>))</w:t>
      </w:r>
      <w:r>
        <w:rPr/>
        <w:t xml:space="preserve"> </w:t>
      </w:r>
      <w:r>
        <w:rPr>
          <w:u w:val="single"/>
        </w:rPr>
        <w:t xml:space="preserve">removal</w:t>
      </w:r>
      <w:r>
        <w:rPr/>
        <w:t xml:space="preserve">;</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(4)(h);</w:t>
      </w:r>
    </w:p>
    <w:p>
      <w:pPr>
        <w:spacing w:before="0" w:after="0" w:line="408" w:lineRule="exact"/>
        <w:ind w:left="0" w:right="0" w:firstLine="576"/>
        <w:jc w:val="left"/>
      </w:pPr>
      <w:r>
        <w:rPr/>
        <w:t xml:space="preserve">(i) Number of days a student is suspended or expelled, to be 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rPr/>
        <w:t xml:space="preserve">(5)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2016 c 72 s 105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w:t>
      </w:r>
      <w:r>
        <w:t>((</w:t>
      </w:r>
      <w:r>
        <w:rPr>
          <w:strike/>
        </w:rPr>
        <w:t xml:space="preserve">ten</w:t>
      </w:r>
      <w:r>
        <w:t>))</w:t>
      </w:r>
      <w:r>
        <w:rPr/>
        <w:t xml:space="preserve"> </w:t>
      </w:r>
      <w:r>
        <w:rPr>
          <w:u w:val="single"/>
        </w:rPr>
        <w:t xml:space="preserve">10</w:t>
      </w:r>
      <w:r>
        <w:rPr/>
        <w:t xml:space="preserve">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w:t>
      </w:r>
      <w:r>
        <w:t>((</w:t>
      </w:r>
      <w:r>
        <w:rPr>
          <w:strike/>
        </w:rPr>
        <w:t xml:space="preserve">ten</w:t>
      </w:r>
      <w:r>
        <w:t>))</w:t>
      </w:r>
      <w:r>
        <w:rPr/>
        <w:t xml:space="preserve"> </w:t>
      </w:r>
      <w:r>
        <w:rPr>
          <w:u w:val="single"/>
        </w:rPr>
        <w:t xml:space="preserve">10</w:t>
      </w:r>
      <w:r>
        <w:rPr/>
        <w:t xml:space="preserve"> consecutive school days.</w:t>
      </w:r>
    </w:p>
    <w:p>
      <w:pPr>
        <w:spacing w:before="0" w:after="0" w:line="408" w:lineRule="exact"/>
        <w:ind w:left="0" w:right="0" w:firstLine="576"/>
        <w:jc w:val="left"/>
      </w:pPr>
      <w:r>
        <w:rPr/>
        <w:t xml:space="preserve">(3) Emergency </w:t>
      </w:r>
      <w:r>
        <w:t>((</w:t>
      </w:r>
      <w:r>
        <w:rPr>
          <w:strike/>
        </w:rPr>
        <w:t xml:space="preserve">expulsions</w:t>
      </w:r>
      <w:r>
        <w:t>))</w:t>
      </w:r>
      <w:r>
        <w:rPr/>
        <w:t xml:space="preserve"> </w:t>
      </w:r>
      <w:r>
        <w:rPr>
          <w:u w:val="single"/>
        </w:rPr>
        <w:t xml:space="preserve">removals</w:t>
      </w:r>
      <w:r>
        <w:rPr/>
        <w:t xml:space="preserve"> must end or be converted to another form of corrective action within ten school days from the date of the emergency removal from school. Notice and due process rights must be provided when an emergency </w:t>
      </w:r>
      <w:r>
        <w:t>((</w:t>
      </w:r>
      <w:r>
        <w:rPr>
          <w:strike/>
        </w:rPr>
        <w:t xml:space="preserve">expulsion</w:t>
      </w:r>
      <w:r>
        <w:t>))</w:t>
      </w:r>
      <w:r>
        <w:rPr/>
        <w:t xml:space="preserve"> </w:t>
      </w:r>
      <w:r>
        <w:rPr>
          <w:u w:val="single"/>
        </w:rPr>
        <w:t xml:space="preserve">removal</w:t>
      </w:r>
      <w:r>
        <w:rPr/>
        <w:t xml:space="preserve"> is converted to another form of corrective action.</w:t>
      </w:r>
    </w:p>
    <w:p>
      <w:pPr>
        <w:spacing w:before="0" w:after="0" w:line="408" w:lineRule="exact"/>
        <w:ind w:left="0" w:right="0" w:firstLine="576"/>
        <w:jc w:val="left"/>
      </w:pPr>
      <w:r>
        <w:rPr/>
        <w:t xml:space="preserve">(4) School districts may not impose long-term suspension or expulsion as a form of discretionary discipline.</w:t>
      </w:r>
    </w:p>
    <w:p>
      <w:pPr>
        <w:spacing w:before="0" w:after="0" w:line="408" w:lineRule="exact"/>
        <w:ind w:left="0" w:right="0" w:firstLine="576"/>
        <w:jc w:val="left"/>
      </w:pPr>
      <w:r>
        <w:rPr/>
        <w:t xml:space="preserve">(5) Any imposition of discretionary and nondiscretionary discipline is subject to the bar on suspending the provision of educational services pursuant to subsection (8) of this section.</w:t>
      </w:r>
    </w:p>
    <w:p>
      <w:pPr>
        <w:spacing w:before="0" w:after="0" w:line="408" w:lineRule="exact"/>
        <w:ind w:left="0" w:right="0" w:firstLine="576"/>
        <w:jc w:val="left"/>
      </w:pPr>
      <w:r>
        <w:rPr/>
        <w:t xml:space="preserve">(6) As used in this chapter, "discretionary discipline" means a disciplinary action taken by a school district for student behavior that violates rules of student conduct adopted by a school district board of directors under RCW 28A.600.010 and this section, but does not constitute action taken in response to any of the following:</w:t>
      </w:r>
    </w:p>
    <w:p>
      <w:pPr>
        <w:spacing w:before="0" w:after="0" w:line="408" w:lineRule="exact"/>
        <w:ind w:left="0" w:right="0" w:firstLine="576"/>
        <w:jc w:val="left"/>
      </w:pPr>
      <w:r>
        <w:rPr/>
        <w:t xml:space="preserve">(a) A violation of RCW 28A.600.420;</w:t>
      </w:r>
    </w:p>
    <w:p>
      <w:pPr>
        <w:spacing w:before="0" w:after="0" w:line="408" w:lineRule="exact"/>
        <w:ind w:left="0" w:right="0" w:firstLine="576"/>
        <w:jc w:val="left"/>
      </w:pPr>
      <w:r>
        <w:rPr/>
        <w:t xml:space="preserve">(b) An offense in RCW 13.04.155;</w:t>
      </w:r>
    </w:p>
    <w:p>
      <w:pPr>
        <w:spacing w:before="0" w:after="0" w:line="408" w:lineRule="exact"/>
        <w:ind w:left="0" w:right="0" w:firstLine="576"/>
        <w:jc w:val="left"/>
      </w:pPr>
      <w:r>
        <w:rPr/>
        <w:t xml:space="preserve">(c) Two or more violations of RCW 9A.46.120, 9.41.280, 28A.600.455, 28A.635.020, or 28A.635.060 within a three-year period; or</w:t>
      </w:r>
    </w:p>
    <w:p>
      <w:pPr>
        <w:spacing w:before="0" w:after="0" w:line="408" w:lineRule="exact"/>
        <w:ind w:left="0" w:right="0" w:firstLine="576"/>
        <w:jc w:val="left"/>
      </w:pPr>
      <w:r>
        <w:rPr/>
        <w:t xml:space="preserve">(d) Behavior that adversely impacts the health or safety of other students or educational staff.</w:t>
      </w:r>
    </w:p>
    <w:p>
      <w:pPr>
        <w:spacing w:before="0" w:after="0" w:line="408" w:lineRule="exact"/>
        <w:ind w:left="0" w:right="0" w:firstLine="576"/>
        <w:jc w:val="left"/>
      </w:pPr>
      <w:r>
        <w:rPr/>
        <w:t xml:space="preserve">(7) Except as provided in RCW 28A.600.420, school districts are not required to impose long-term suspension or expulsion for behavior that constitutes a violation or offense listed under subsection (6)(a) through (d) of this section and should first consider alternative actions.</w:t>
      </w:r>
    </w:p>
    <w:p>
      <w:pPr>
        <w:spacing w:before="0" w:after="0" w:line="408" w:lineRule="exact"/>
        <w:ind w:left="0" w:right="0" w:firstLine="576"/>
        <w:jc w:val="left"/>
      </w:pPr>
      <w:r>
        <w:rPr/>
        <w:t xml:space="preserve">(8)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0" w:after="0" w:line="408" w:lineRule="exact"/>
        <w:ind w:left="0" w:right="0" w:firstLine="576"/>
        <w:jc w:val="left"/>
      </w:pPr>
      <w:r>
        <w:rPr/>
        <w:t xml:space="preserve">(9) Nothing in this section creates any civil liability for school districts, or creates a new cause of action or new theory of negligence against a school district board of directors, a school district, or the state.</w:t>
      </w:r>
    </w:p>
    <w:p/>
    <w:p>
      <w:pPr>
        <w:jc w:val="center"/>
      </w:pPr>
      <w:r>
        <w:rPr>
          <w:b/>
        </w:rPr>
        <w:t>--- END ---</w:t>
      </w:r>
    </w:p>
    <w:sectPr>
      <w:pgNumType w:start="1"/>
      <w:footerReference xmlns:r="http://schemas.openxmlformats.org/officeDocument/2006/relationships" r:id="R3734bb627b614b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397492e94648bf" /><Relationship Type="http://schemas.openxmlformats.org/officeDocument/2006/relationships/footer" Target="/word/footer1.xml" Id="R3734bb627b614b22" /></Relationships>
</file>