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e84d69ce24d4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1209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Leavitt, Griffey, Fey, Bronoske, and Davis</w:t>
      </w:r>
    </w:p>
    <w:p/>
    <w:p>
      <w:r>
        <w:rPr>
          <w:t xml:space="preserve">Read first time 01/10/23.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purchase, delivery, and sale of certain equipment used to illegally process controlled substances; amending RCW 9.94A.518; adding a new section to chapter 69.50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It is unlawful for any person to possess, purchase, deliver, sell, or possess with intent to sell a tableting machine or encapsulating machine knowing, or under circumstances where one reasonably should know, that it will be used to manufacture, compound, convert, produce, process, prepare, or otherwise introduce into the human body a controlled substance, other than cannabis, in violation of this chapter.</w:t>
      </w:r>
    </w:p>
    <w:p>
      <w:pPr>
        <w:spacing w:before="0" w:after="0" w:line="408" w:lineRule="exact"/>
        <w:ind w:left="0" w:right="0" w:firstLine="576"/>
        <w:jc w:val="left"/>
      </w:pPr>
      <w:r>
        <w:rPr/>
        <w:t xml:space="preserve">(2) Any person who violates this section is guilty of a class C felony.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"Encapsulating machine" means manual, semiautomatic, or fully automatic equipment that can be used to fill shells or capsules with powdered or granular solids or semisolid material to produce coherent solid contents.</w:t>
      </w:r>
    </w:p>
    <w:p>
      <w:pPr>
        <w:spacing w:before="0" w:after="0" w:line="408" w:lineRule="exact"/>
        <w:ind w:left="0" w:right="0" w:firstLine="576"/>
        <w:jc w:val="left"/>
      </w:pPr>
      <w:r>
        <w:rPr/>
        <w:t xml:space="preserve">(b) "Tableting machine" means manual, semiautomatic, or fully automatic equipment that can be used to compact, compress, or mold powdered or granular solids or semisolid material to produce fused coherent solid tablets.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2022 c 16 s 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 purchase, deliver, sell, or possess with intent to sell a tableting machine or encapsulating machine (section 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Tyler Lee Yates act.</w:t>
      </w:r>
    </w:p>
    <w:p/>
    <w:p>
      <w:pPr>
        <w:jc w:val="center"/>
      </w:pPr>
      <w:r>
        <w:rPr>
          <w:b/>
        </w:rPr>
        <w:t>--- END ---</w:t>
      </w:r>
    </w:p>
    <w:sectPr>
      <w:pgNumType w:start="1"/>
      <w:footerReference xmlns:r="http://schemas.openxmlformats.org/officeDocument/2006/relationships" r:id="Ra276ccb036b140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2a65bf5794fd3" /><Relationship Type="http://schemas.openxmlformats.org/officeDocument/2006/relationships/footer" Target="/word/footer1.xml" Id="Ra276ccb036b14092" /></Relationships>
</file>