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a4b51626544b50" /></Relationships>
</file>

<file path=word/document.xml><?xml version="1.0" encoding="utf-8"?>
<w:document xmlns:w="http://schemas.openxmlformats.org/wordprocessingml/2006/main">
  <w:body>
    <w:p>
      <w:r>
        <w:t>H-0173.3</w:t>
      </w:r>
    </w:p>
    <w:p>
      <w:pPr>
        <w:jc w:val="center"/>
      </w:pPr>
      <w:r>
        <w:t>_______________________________________________</w:t>
      </w:r>
    </w:p>
    <w:p/>
    <w:p>
      <w:pPr>
        <w:jc w:val="center"/>
      </w:pPr>
      <w:r>
        <w:rPr>
          <w:b/>
        </w:rPr>
        <w:t>HOUSE BILL 1231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Berg, Chapman, Wylie, Waters, Reed, Volz, Peterson, Taylor, Leavitt, Doglio, Riccelli, Paul, Fey, McEntire, Ramel, Tharinger, Lekanoff, Slatter, Barkis, and Stonier</w:t>
      </w:r>
    </w:p>
    <w:p/>
    <w:p>
      <w:r>
        <w:rPr>
          <w:t xml:space="preserve">Read first time 01/11/23.  </w:t>
        </w:rPr>
      </w:r>
      <w:r>
        <w:rPr>
          <w:t xml:space="preserve">Referred to Committee on Innovation, Community &amp;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accelerating rural job growth and promoting economic recovery across Washington through site readiness grants; amending RCW 43.160.060;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while many of Washington's high-wage industries, particularly those clustered around the Puget Sound corridor, have weathered both public health and economic crises well, many rural communities continue to struggle to recover without adequate access to resources. This has negative impacts on rural communities' broader ability to retain and grow family-wage jobs and local businesses, grow their tax base, and provide basic government services.</w:t>
      </w:r>
    </w:p>
    <w:p>
      <w:pPr>
        <w:spacing w:before="0" w:after="0" w:line="408" w:lineRule="exact"/>
        <w:ind w:left="0" w:right="0" w:firstLine="576"/>
        <w:jc w:val="left"/>
      </w:pPr>
      <w:r>
        <w:rPr/>
        <w:t xml:space="preserve">(2) The legislature further finds that reliable, modern infrastructure is critical for successful economic recovery and development. The underpinning of all commerce is physical infrastructure: Roads, transit, airports, railroads, water and sewer, broadband, and energy. Public investments in infrastructure create construction jobs, set the stage for future private investment, and shape an area's prospects for generations. New or relocating businesses often factor in the degree of certainty in timing of permitting and predevelopment work in selecting a site to locate.</w:t>
      </w:r>
    </w:p>
    <w:p>
      <w:pPr>
        <w:spacing w:before="0" w:after="0" w:line="408" w:lineRule="exact"/>
        <w:ind w:left="0" w:right="0" w:firstLine="576"/>
        <w:jc w:val="left"/>
      </w:pPr>
      <w:r>
        <w:rPr/>
        <w:t xml:space="preserve">(3) Therefore, the legislature intends to promote permanent job growth, ensure equitable recovery, and provide businesses as much predictability and certainty as possible through supporting site readiness and investments in predevelopment work to help give new or relocating businesses the assurance and confidence they need to choose Washington communities as their next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060</w:t>
      </w:r>
      <w:r>
        <w:rPr/>
        <w:t xml:space="preserve"> and 2014 c 112 s 108 are each amended to read as follows:</w:t>
      </w:r>
    </w:p>
    <w:p>
      <w:pPr>
        <w:spacing w:before="0" w:after="0" w:line="408" w:lineRule="exact"/>
        <w:ind w:left="0" w:right="0" w:firstLine="576"/>
        <w:jc w:val="left"/>
      </w:pPr>
      <w:r>
        <w:rPr/>
        <w:t xml:space="preserve">(1) The board is authorized to make direct loans to political subdivisions of the state and to federally recognized Indian tribes for the purposes of assisting the political subdivisions and federally recognized Indian tribes in financing the cost of public facilities, including development of land and improvements for public facilities, project-specific environmental, capital facilities, land use, permitting, feasibility, and marketing studies and plans; project design, site planning, and analysis; project debt and revenue impact analysis; as well as the construction, rehabilitation, alteration, expansion, or improvement of the facilities. A grant may also be authorized for purposes designated in this chapter, but only when, and to the extent that, a loan is not reasonably possible, given the limited resources of the political subdivision or the federally recognized Indian tribe and the finding by the board that financial circumstances require grant assistance to enable the project to move forward. However, no more than twenty-five percent of all financial assistance approved by the board in any biennium may consist of grants to political subdivisions and federally recognized Indian tribes.</w:t>
      </w:r>
    </w:p>
    <w:p>
      <w:pPr>
        <w:spacing w:before="0" w:after="0" w:line="408" w:lineRule="exact"/>
        <w:ind w:left="0" w:right="0" w:firstLine="576"/>
        <w:jc w:val="left"/>
      </w:pPr>
      <w:r>
        <w:rPr/>
        <w:t xml:space="preserve">(2) Application for funds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political subdivision or federally recognized Indian tribe.</w:t>
      </w:r>
    </w:p>
    <w:p>
      <w:pPr>
        <w:spacing w:before="0" w:after="0" w:line="408" w:lineRule="exact"/>
        <w:ind w:left="0" w:right="0" w:firstLine="576"/>
        <w:jc w:val="left"/>
      </w:pPr>
      <w:r>
        <w:rPr/>
        <w:t xml:space="preserve">(b) The board may only provide financial assistance:</w:t>
      </w:r>
    </w:p>
    <w:p>
      <w:pPr>
        <w:spacing w:before="0" w:after="0" w:line="408" w:lineRule="exact"/>
        <w:ind w:left="0" w:right="0" w:firstLine="576"/>
        <w:jc w:val="left"/>
      </w:pPr>
      <w:r>
        <w:rPr/>
        <w:t xml:space="preserve">(i) For a project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 and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w:t>
      </w:r>
    </w:p>
    <w:p>
      <w:pPr>
        <w:spacing w:before="0" w:after="0" w:line="408" w:lineRule="exact"/>
        <w:ind w:left="0" w:right="0" w:firstLine="576"/>
        <w:jc w:val="left"/>
      </w:pPr>
      <w:r>
        <w:rPr/>
        <w:t xml:space="preserve">(ii) For a project that cannot meet the requirement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(iii) For site-specific plans, studies, and analyses that address environmental impacts, capital facilities, land use, permitting, feasibility, marketing, project engineering, design, site planning, </w:t>
      </w:r>
      <w:r>
        <w:rPr>
          <w:u w:val="single"/>
        </w:rPr>
        <w:t xml:space="preserve">costs of achieving site readiness,</w:t>
      </w:r>
      <w:r>
        <w:rPr/>
        <w:t xml:space="preserve"> and project debt and revenue impacts, as grants </w:t>
      </w:r>
      <w:r>
        <w:t>((</w:t>
      </w:r>
      <w:r>
        <w:rPr>
          <w:strike/>
        </w:rPr>
        <w:t xml:space="preserve">not to exceed fifty thousand dollars</w:t>
      </w:r>
      <w:r>
        <w:t>))</w:t>
      </w:r>
      <w:r>
        <w:rPr/>
        <w:t xml:space="preserve">. </w:t>
      </w:r>
      <w:r>
        <w:rPr>
          <w:u w:val="single"/>
        </w:rPr>
        <w:t xml:space="preserve">After December 31, 2028, such grants may not exceed $200,000.</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political subdivision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political subdivision or the federally recognized Indian tribe must be present during board deliberations and provide information that the board requests.</w:t>
      </w:r>
    </w:p>
    <w:p>
      <w:pPr>
        <w:spacing w:before="0" w:after="0" w:line="408" w:lineRule="exact"/>
        <w:ind w:left="0" w:right="0" w:firstLine="576"/>
        <w:jc w:val="left"/>
      </w:pPr>
      <w:r>
        <w:rPr/>
        <w:t xml:space="preserve">(3) Before any financial assistance application is approved, the political subdivision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
      <w:pPr>
        <w:jc w:val="center"/>
      </w:pPr>
      <w:r>
        <w:rPr>
          <w:b/>
        </w:rPr>
        <w:t>--- END ---</w:t>
      </w:r>
    </w:p>
    <w:sectPr>
      <w:pgNumType w:start="1"/>
      <w:footerReference xmlns:r="http://schemas.openxmlformats.org/officeDocument/2006/relationships" r:id="Ra0d49d6f1b5549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6ccc575df14e47" /><Relationship Type="http://schemas.openxmlformats.org/officeDocument/2006/relationships/footer" Target="/word/footer1.xml" Id="Ra0d49d6f1b554910" /></Relationships>
</file>