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7f7e53ba24c33" /></Relationships>
</file>

<file path=word/document.xml><?xml version="1.0" encoding="utf-8"?>
<w:document xmlns:w="http://schemas.openxmlformats.org/wordprocessingml/2006/main">
  <w:body>
    <w:p>
      <w:r>
        <w:t>H-1381.1</w:t>
      </w:r>
    </w:p>
    <w:p>
      <w:pPr>
        <w:jc w:val="center"/>
      </w:pPr>
      <w:r>
        <w:t>_______________________________________________</w:t>
      </w:r>
    </w:p>
    <w:p/>
    <w:p>
      <w:pPr>
        <w:jc w:val="center"/>
      </w:pPr>
      <w:r>
        <w:rPr>
          <w:b/>
        </w:rPr>
        <w:t>SUBSTITUTE HOUSE BILL 1288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Reeves, Ryu, Morgan, and Graham; by request of Department of Veterans Affairs)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regarding exempt staff and exempt staff appointments, removing reference to one-time use of funds, and exempting veteran discharge papers from public disclosure; amending RCW 41.06.077, 43.60A.140, and 72.36.020; and repealing RCW 72.36.040, 72.36.050, 72.36.055, and 72.36.077.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077</w:t>
      </w:r>
      <w:r>
        <w:rPr/>
        <w:t xml:space="preserve"> and 2001 c 84 s 1 are each amended to read as follows:</w:t>
      </w:r>
    </w:p>
    <w:p>
      <w:pPr>
        <w:spacing w:before="0" w:after="0" w:line="408" w:lineRule="exact"/>
        <w:ind w:left="0" w:right="0" w:firstLine="576"/>
        <w:jc w:val="left"/>
      </w:pPr>
      <w:r>
        <w:rPr/>
        <w:t xml:space="preserve">In addition to the exemptions set forth in RCW 41.06.070, the provisions of this chapter shall not apply in the department of veterans affairs to the director, the deputy director, no more than two assistant directors, </w:t>
      </w:r>
      <w:r>
        <w:rPr>
          <w:u w:val="single"/>
        </w:rPr>
        <w:t xml:space="preserve">administrators and directors of nursing services at each state veterans' home,</w:t>
      </w:r>
      <w:r>
        <w:rPr/>
        <w:t xml:space="preserve"> a confidential secretary for the deputy director, and a confidential secretary for each assistant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2019 c 415 s 965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w:t>
      </w:r>
      <w:r>
        <w:t>((</w:t>
      </w:r>
      <w:r>
        <w:rPr>
          <w:strike/>
        </w:rPr>
        <w:t xml:space="preserve">a future</w:t>
      </w:r>
      <w:r>
        <w:t>))</w:t>
      </w:r>
      <w:r>
        <w:rPr/>
        <w:t xml:space="preserve"> state veterans' </w:t>
      </w:r>
      <w:r>
        <w:t>((</w:t>
      </w:r>
      <w:r>
        <w:rPr>
          <w:strike/>
        </w:rPr>
        <w:t xml:space="preserve">cemetery</w:t>
      </w:r>
      <w:r>
        <w:t>))</w:t>
      </w:r>
      <w:r>
        <w:rPr/>
        <w:t xml:space="preserve"> </w:t>
      </w:r>
      <w:r>
        <w:rPr>
          <w:u w:val="single"/>
        </w:rPr>
        <w:t xml:space="preserve">cemeteries</w:t>
      </w:r>
      <w:r>
        <w:rPr/>
        <w:t xml:space="preserve">. Funds from the account may not be used to supplant existing funds received by the department. </w:t>
      </w:r>
      <w:r>
        <w:t>((</w:t>
      </w:r>
      <w:r>
        <w:rPr>
          <w:strike/>
        </w:rPr>
        <w:t xml:space="preserve">For the 2019-2021 fiscal biennium, moneys deposited into the veterans stewardship account may be used for the department's traumatic brain injury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36</w:t>
      </w:r>
      <w:r>
        <w:rPr/>
        <w:t xml:space="preserve">.</w:t>
      </w:r>
      <w:r>
        <w:t xml:space="preserve">040</w:t>
      </w:r>
      <w:r>
        <w:rPr/>
        <w:t xml:space="preserve"> (Colony established</w:t>
      </w:r>
      <w:r>
        <w:rPr>
          <w:rFonts w:ascii="Times New Roman" w:hAnsi="Times New Roman"/>
        </w:rPr>
        <w:t xml:space="preserve">—</w:t>
      </w:r>
      <w:r>
        <w:rPr/>
        <w:t xml:space="preserve">Who may be admitted) and 2008 c 6 s 504 &amp; 1977 ex.s. c 186 s 2;</w:t>
      </w:r>
    </w:p>
    <w:p>
      <w:pPr>
        <w:spacing w:before="0" w:after="0" w:line="408" w:lineRule="exact"/>
        <w:ind w:left="0" w:right="0" w:firstLine="576"/>
        <w:jc w:val="left"/>
      </w:pPr>
      <w:r>
        <w:t xml:space="preserve">(2) </w:t>
      </w:r>
      <w:r>
        <w:rPr/>
        <w:t xml:space="preserve">RCW </w:t>
      </w:r>
      <w:r>
        <w:t xml:space="preserve">72</w:t>
      </w:r>
      <w:r>
        <w:rPr/>
        <w:t xml:space="preserve">.</w:t>
      </w:r>
      <w:r>
        <w:t xml:space="preserve">36</w:t>
      </w:r>
      <w:r>
        <w:rPr/>
        <w:t xml:space="preserve">.</w:t>
      </w:r>
      <w:r>
        <w:t xml:space="preserve">050</w:t>
      </w:r>
      <w:r>
        <w:rPr/>
        <w:t xml:space="preserve"> (Regulations of home applicable</w:t>
      </w:r>
      <w:r>
        <w:rPr>
          <w:rFonts w:ascii="Times New Roman" w:hAnsi="Times New Roman"/>
        </w:rPr>
        <w:t xml:space="preserve">—</w:t>
      </w:r>
      <w:r>
        <w:rPr/>
        <w:t xml:space="preserve">Rations, medical attendance, clothing) and 2008 c 6 s 505, 1979 c 65 s 1, 1973 1st ex.s. c 154 s 103, 1967 c 112 s 1, &amp; 1959 c 28 s 72.36.050;</w:t>
      </w:r>
    </w:p>
    <w:p>
      <w:pPr>
        <w:spacing w:before="0" w:after="0" w:line="408" w:lineRule="exact"/>
        <w:ind w:left="0" w:right="0" w:firstLine="576"/>
        <w:jc w:val="left"/>
      </w:pPr>
      <w:r>
        <w:t xml:space="preserve">(3) </w:t>
      </w:r>
      <w:r>
        <w:rPr/>
        <w:t xml:space="preserve">RCW </w:t>
      </w:r>
      <w:r>
        <w:t xml:space="preserve">72</w:t>
      </w:r>
      <w:r>
        <w:rPr/>
        <w:t xml:space="preserve">.</w:t>
      </w:r>
      <w:r>
        <w:t xml:space="preserve">36</w:t>
      </w:r>
      <w:r>
        <w:rPr/>
        <w:t xml:space="preserve">.</w:t>
      </w:r>
      <w:r>
        <w:t xml:space="preserve">055</w:t>
      </w:r>
      <w:r>
        <w:rPr/>
        <w:t xml:space="preserve"> (Domiciliary and nursing care) and 2014 c 184 s 5, 2001 2nd sp.s. c 4 s 4, &amp; 1977 ex.s. c 186 s 6; and</w:t>
      </w:r>
    </w:p>
    <w:p>
      <w:pPr>
        <w:spacing w:before="0" w:after="0" w:line="408" w:lineRule="exact"/>
        <w:ind w:left="0" w:right="0" w:firstLine="576"/>
        <w:jc w:val="left"/>
      </w:pPr>
      <w:r>
        <w:t xml:space="preserve">(4) </w:t>
      </w:r>
      <w:r>
        <w:rPr/>
        <w:t xml:space="preserve">RCW </w:t>
      </w:r>
      <w:r>
        <w:t xml:space="preserve">72</w:t>
      </w:r>
      <w:r>
        <w:rPr/>
        <w:t xml:space="preserve">.</w:t>
      </w:r>
      <w:r>
        <w:t xml:space="preserve">36</w:t>
      </w:r>
      <w:r>
        <w:rPr/>
        <w:t xml:space="preserve">.</w:t>
      </w:r>
      <w:r>
        <w:t xml:space="preserve">077</w:t>
      </w:r>
      <w:r>
        <w:rPr/>
        <w:t xml:space="preserve"> (Eastern Washington veterans' home</w:t>
      </w:r>
      <w:r>
        <w:rPr>
          <w:rFonts w:ascii="Times New Roman" w:hAnsi="Times New Roman"/>
        </w:rPr>
        <w:t xml:space="preserve">—</w:t>
      </w:r>
      <w:r>
        <w:rPr/>
        <w:t xml:space="preserve">Funding</w:t>
      </w:r>
      <w:r>
        <w:rPr>
          <w:rFonts w:ascii="Times New Roman" w:hAnsi="Times New Roman"/>
        </w:rPr>
        <w:t xml:space="preserve">—</w:t>
      </w:r>
      <w:r>
        <w:rPr/>
        <w:t xml:space="preserve">Intent) and 2001 2nd sp.s. c 4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2018 c 45 s 3 are each amended to read as follows:</w:t>
      </w:r>
    </w:p>
    <w:p>
      <w:pPr>
        <w:spacing w:before="0" w:after="0" w:line="408" w:lineRule="exact"/>
        <w:ind w:left="0" w:right="0" w:firstLine="576"/>
        <w:jc w:val="left"/>
      </w:pPr>
      <w:r>
        <w:rPr/>
        <w:t xml:space="preserve">The director of the department of veterans affairs shall appoint an administrator </w:t>
      </w:r>
      <w:r>
        <w:rPr>
          <w:u w:val="single"/>
        </w:rPr>
        <w:t xml:space="preserve">and director of nursing services</w:t>
      </w:r>
      <w:r>
        <w:rPr/>
        <w:t xml:space="preserve"> for each state veterans' home. The administrator shall exercise management and control of the institution in accordance with either policies or procedures promulgated by the director of the department of veterans affairs, or both, and rules of the department. In accordance with chapter 18.52 RCW, the individual appointed as administrator for a state veterans' home shall be a licensed nursing home administrator and the agency shall provide preference to honorably discharged veterans in accordance with RCW 73.16.010. </w:t>
      </w:r>
      <w:r>
        <w:rPr>
          <w:u w:val="single"/>
        </w:rPr>
        <w:t xml:space="preserve">The director of nursing services shall be a registered nurse licensed in the state of Washington and is a position exempt from chapter 41.06 RCW.</w:t>
      </w:r>
    </w:p>
    <w:p/>
    <w:p>
      <w:pPr>
        <w:jc w:val="center"/>
      </w:pPr>
      <w:r>
        <w:rPr>
          <w:b/>
        </w:rPr>
        <w:t>--- END ---</w:t>
      </w:r>
    </w:p>
    <w:sectPr>
      <w:pgNumType w:start="1"/>
      <w:footerReference xmlns:r="http://schemas.openxmlformats.org/officeDocument/2006/relationships" r:id="R6f417a1a6d7548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21426abd5f445a" /><Relationship Type="http://schemas.openxmlformats.org/officeDocument/2006/relationships/footer" Target="/word/footer1.xml" Id="R6f417a1a6d7548c2" /></Relationships>
</file>