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928923f394781" /></Relationships>
</file>

<file path=word/document.xml><?xml version="1.0" encoding="utf-8"?>
<w:document xmlns:w="http://schemas.openxmlformats.org/wordprocessingml/2006/main">
  <w:body>
    <w:p>
      <w:r>
        <w:t>H-0472.1</w:t>
      </w:r>
    </w:p>
    <w:p>
      <w:pPr>
        <w:jc w:val="center"/>
      </w:pPr>
      <w:r>
        <w:t>_______________________________________________</w:t>
      </w:r>
    </w:p>
    <w:p/>
    <w:p>
      <w:pPr>
        <w:jc w:val="center"/>
      </w:pPr>
      <w:r>
        <w:rPr>
          <w:b/>
        </w:rPr>
        <w:t>HOUSE BILL 1300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Orwall, Mosbrucker, Graham, Jacobsen, Lekanoff, Macri, and Reed</w:t>
      </w:r>
    </w:p>
    <w:p/>
    <w:p>
      <w:r>
        <w:rPr>
          <w:t xml:space="preserve">Read first time 01/13/23.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fraud in assisted reproduction; amending RCW 9A.36.031 and 18.130.180;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unconscionable that health care providers or others may misrepresent the source of the human reproductive material provided to assisted reproduction patients. In such cases, false information leaves the children conceived through assisted reproduction without accurate information about their identity, family medical history, and true genetic parentage.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Implants his or her gametes or reproductive material into a patient without the patient's written consent. For the purposes of this subsection, "gamete" means sperm, egg, or any part of a sperm or egg, and "reproductive material" means a human gamete or a human organism at any stage of development from fertilized ovum to embryo</w:t>
      </w:r>
      <w:r>
        <w:rPr/>
        <w:t xml:space="preserve">.</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2021 c 157 s 7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41.05.700(8), 48.43.735(8), 48.49.020, 48.49.030, 71.24.335(8), or 74.09.325(8);</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0" w:after="0" w:line="408" w:lineRule="exact"/>
        <w:ind w:left="0" w:right="0" w:firstLine="576"/>
        <w:jc w:val="left"/>
      </w:pPr>
      <w:r>
        <w:rPr/>
        <w:t xml:space="preserve">(28) Violation of RCW 18.130.430</w:t>
      </w:r>
      <w:r>
        <w:rPr>
          <w:u w:val="single"/>
        </w:rPr>
        <w:t xml:space="preserve">; or</w:t>
      </w:r>
    </w:p>
    <w:p>
      <w:pPr>
        <w:spacing w:before="0" w:after="0" w:line="408" w:lineRule="exact"/>
        <w:ind w:left="0" w:right="0" w:firstLine="576"/>
        <w:jc w:val="left"/>
      </w:pPr>
      <w:r>
        <w:rPr>
          <w:u w:val="single"/>
        </w:rPr>
        <w:t xml:space="preserve">(29) Committing the crime of assault in the third degree by implanting the license holder's own gametes or reproductive material into a patient without the patient's written consent as described under RCW 9A.36.031(l)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2023, the department of health must convene a work group of stakeholders to evaluate the issue of fraud in assisted reproduction in Washington and make recommendations to the governor and the appropriate committees of the legislature for addressing fraud in assisted reproduction.</w:t>
      </w:r>
    </w:p>
    <w:p>
      <w:pPr>
        <w:spacing w:before="0" w:after="0" w:line="408" w:lineRule="exact"/>
        <w:ind w:left="0" w:right="0" w:firstLine="576"/>
        <w:jc w:val="left"/>
      </w:pPr>
      <w:r>
        <w:rPr/>
        <w:t xml:space="preserve">(2) The work group must, at minimum, consist of stakeholders representing each of the following:</w:t>
      </w:r>
    </w:p>
    <w:p>
      <w:pPr>
        <w:spacing w:before="0" w:after="0" w:line="408" w:lineRule="exact"/>
        <w:ind w:left="0" w:right="0" w:firstLine="576"/>
        <w:jc w:val="left"/>
      </w:pPr>
      <w:r>
        <w:rPr/>
        <w:t xml:space="preserve">(a) The Washington association of prosecuting attorneys;</w:t>
      </w:r>
    </w:p>
    <w:p>
      <w:pPr>
        <w:spacing w:before="0" w:after="0" w:line="408" w:lineRule="exact"/>
        <w:ind w:left="0" w:right="0" w:firstLine="576"/>
        <w:jc w:val="left"/>
      </w:pPr>
      <w:r>
        <w:rPr/>
        <w:t xml:space="preserve">(b) Victims of crimes related to fraud in assisted reproduction;</w:t>
      </w:r>
    </w:p>
    <w:p>
      <w:pPr>
        <w:spacing w:before="0" w:after="0" w:line="408" w:lineRule="exact"/>
        <w:ind w:left="0" w:right="0" w:firstLine="576"/>
        <w:jc w:val="left"/>
      </w:pPr>
      <w:r>
        <w:rPr/>
        <w:t xml:space="preserve">(c) Health care providers;</w:t>
      </w:r>
    </w:p>
    <w:p>
      <w:pPr>
        <w:spacing w:before="0" w:after="0" w:line="408" w:lineRule="exact"/>
        <w:ind w:left="0" w:right="0" w:firstLine="576"/>
        <w:jc w:val="left"/>
      </w:pPr>
      <w:r>
        <w:rPr/>
        <w:t xml:space="preserve">(d) Fertility clinics;</w:t>
      </w:r>
    </w:p>
    <w:p>
      <w:pPr>
        <w:spacing w:before="0" w:after="0" w:line="408" w:lineRule="exact"/>
        <w:ind w:left="0" w:right="0" w:firstLine="576"/>
        <w:jc w:val="left"/>
      </w:pPr>
      <w:r>
        <w:rPr/>
        <w:t xml:space="preserve">(e) Gamete banks; and</w:t>
      </w:r>
    </w:p>
    <w:p>
      <w:pPr>
        <w:spacing w:before="0" w:after="0" w:line="408" w:lineRule="exact"/>
        <w:ind w:left="0" w:right="0" w:firstLine="576"/>
        <w:jc w:val="left"/>
      </w:pPr>
      <w:r>
        <w:rPr/>
        <w:t xml:space="preserve">(f) Any other entities that the department of health determines should participate in the work group.</w:t>
      </w:r>
    </w:p>
    <w:p>
      <w:pPr>
        <w:spacing w:before="0" w:after="0" w:line="408" w:lineRule="exact"/>
        <w:ind w:left="0" w:right="0" w:firstLine="576"/>
        <w:jc w:val="left"/>
      </w:pPr>
      <w:r>
        <w:rPr/>
        <w:t xml:space="preserve">(3) After being convened, the work group must continue to meet at least once every two months to evaluate and make recommendations related to the following subjects:</w:t>
      </w:r>
    </w:p>
    <w:p>
      <w:pPr>
        <w:spacing w:before="0" w:after="0" w:line="408" w:lineRule="exact"/>
        <w:ind w:left="0" w:right="0" w:firstLine="576"/>
        <w:jc w:val="left"/>
      </w:pPr>
      <w:r>
        <w:rPr/>
        <w:t xml:space="preserve">(a) Conduct that may constitute fraud in assisted reproduction;</w:t>
      </w:r>
    </w:p>
    <w:p>
      <w:pPr>
        <w:spacing w:before="0" w:after="0" w:line="408" w:lineRule="exact"/>
        <w:ind w:left="0" w:right="0" w:firstLine="576"/>
        <w:jc w:val="left"/>
      </w:pPr>
      <w:r>
        <w:rPr/>
        <w:t xml:space="preserve">(b) Whether particular forms of fraud in assisted reproduction should be subject to increased regulation and enforcement, including consideration of whether to:</w:t>
      </w:r>
    </w:p>
    <w:p>
      <w:pPr>
        <w:spacing w:before="0" w:after="0" w:line="408" w:lineRule="exact"/>
        <w:ind w:left="0" w:right="0" w:firstLine="576"/>
        <w:jc w:val="left"/>
      </w:pPr>
      <w:r>
        <w:rPr/>
        <w:t xml:space="preserve">(i) Expand related professional disciplinary actions;</w:t>
      </w:r>
    </w:p>
    <w:p>
      <w:pPr>
        <w:spacing w:before="0" w:after="0" w:line="408" w:lineRule="exact"/>
        <w:ind w:left="0" w:right="0" w:firstLine="576"/>
        <w:jc w:val="left"/>
      </w:pPr>
      <w:r>
        <w:rPr/>
        <w:t xml:space="preserve">(ii) Expand related criminal penalties;</w:t>
      </w:r>
    </w:p>
    <w:p>
      <w:pPr>
        <w:spacing w:before="0" w:after="0" w:line="408" w:lineRule="exact"/>
        <w:ind w:left="0" w:right="0" w:firstLine="576"/>
        <w:jc w:val="left"/>
      </w:pPr>
      <w:r>
        <w:rPr/>
        <w:t xml:space="preserve">(iii) Provide additional civil causes of action or remedies to donors and patients who are harmed;</w:t>
      </w:r>
    </w:p>
    <w:p>
      <w:pPr>
        <w:spacing w:before="0" w:after="0" w:line="408" w:lineRule="exact"/>
        <w:ind w:left="0" w:right="0" w:firstLine="576"/>
        <w:jc w:val="left"/>
      </w:pPr>
      <w:r>
        <w:rPr/>
        <w:t xml:space="preserve">(iv) Extend related statutes of limitations; and</w:t>
      </w:r>
    </w:p>
    <w:p>
      <w:pPr>
        <w:spacing w:before="0" w:after="0" w:line="408" w:lineRule="exact"/>
        <w:ind w:left="0" w:right="0" w:firstLine="576"/>
        <w:jc w:val="left"/>
      </w:pPr>
      <w:r>
        <w:rPr/>
        <w:t xml:space="preserve">(v) Make any other relevant changes to support effective regulation and enforcement;</w:t>
      </w:r>
    </w:p>
    <w:p>
      <w:pPr>
        <w:spacing w:before="0" w:after="0" w:line="408" w:lineRule="exact"/>
        <w:ind w:left="0" w:right="0" w:firstLine="576"/>
        <w:jc w:val="left"/>
      </w:pPr>
      <w:r>
        <w:rPr/>
        <w:t xml:space="preserve">(c) Whether certain information about the identity and background of donors should be protected or shared, and with whom that information should be protected from or shared with;</w:t>
      </w:r>
    </w:p>
    <w:p>
      <w:pPr>
        <w:spacing w:before="0" w:after="0" w:line="408" w:lineRule="exact"/>
        <w:ind w:left="0" w:right="0" w:firstLine="576"/>
        <w:jc w:val="left"/>
      </w:pPr>
      <w:r>
        <w:rPr/>
        <w:t xml:space="preserve">(d) Whether to allow or prohibit anonymous donations;</w:t>
      </w:r>
    </w:p>
    <w:p>
      <w:pPr>
        <w:spacing w:before="0" w:after="0" w:line="408" w:lineRule="exact"/>
        <w:ind w:left="0" w:right="0" w:firstLine="576"/>
        <w:jc w:val="left"/>
      </w:pPr>
      <w:r>
        <w:rPr/>
        <w:t xml:space="preserve">(e) Whether there should be any limits on how frequently the same person may provide donations of reproductive material;</w:t>
      </w:r>
    </w:p>
    <w:p>
      <w:pPr>
        <w:spacing w:before="0" w:after="0" w:line="408" w:lineRule="exact"/>
        <w:ind w:left="0" w:right="0" w:firstLine="576"/>
        <w:jc w:val="left"/>
      </w:pPr>
      <w:r>
        <w:rPr/>
        <w:t xml:space="preserve">(f) Current regulations on assisted reproduction services offered by health care providers, fertility clinics, and gamete banks in Washington, including existing enforcement mechanisms;</w:t>
      </w:r>
    </w:p>
    <w:p>
      <w:pPr>
        <w:spacing w:before="0" w:after="0" w:line="408" w:lineRule="exact"/>
        <w:ind w:left="0" w:right="0" w:firstLine="576"/>
        <w:jc w:val="left"/>
      </w:pPr>
      <w:r>
        <w:rPr/>
        <w:t xml:space="preserve">(g) Approaches other jurisdictions have undertaken to address fraud in assisted reproduction, including any legislative efforts to address fraud in assisted reproduction in those jurisdictions;</w:t>
      </w:r>
    </w:p>
    <w:p>
      <w:pPr>
        <w:spacing w:before="0" w:after="0" w:line="408" w:lineRule="exact"/>
        <w:ind w:left="0" w:right="0" w:firstLine="576"/>
        <w:jc w:val="left"/>
      </w:pPr>
      <w:r>
        <w:rPr/>
        <w:t xml:space="preserve">(h) Resources for victims of fraud in assisted reproduction; and</w:t>
      </w:r>
    </w:p>
    <w:p>
      <w:pPr>
        <w:spacing w:before="0" w:after="0" w:line="408" w:lineRule="exact"/>
        <w:ind w:left="0" w:right="0" w:firstLine="576"/>
        <w:jc w:val="left"/>
      </w:pPr>
      <w:r>
        <w:rPr/>
        <w:t xml:space="preserve">(i) Any other relevant factors or considerations.</w:t>
      </w:r>
    </w:p>
    <w:p>
      <w:pPr>
        <w:spacing w:before="0" w:after="0" w:line="408" w:lineRule="exact"/>
        <w:ind w:left="0" w:right="0" w:firstLine="576"/>
        <w:jc w:val="left"/>
      </w:pPr>
      <w:r>
        <w:rPr/>
        <w:t xml:space="preserve">(4) The department of health must issue a final report containing the work group's findings and recommendations to the governor and the appropriate committees of the legislature by October 1, 2024.</w:t>
      </w:r>
    </w:p>
    <w:p>
      <w:pPr>
        <w:spacing w:before="0" w:after="0" w:line="408" w:lineRule="exact"/>
        <w:ind w:left="0" w:right="0" w:firstLine="576"/>
        <w:jc w:val="left"/>
      </w:pPr>
      <w:r>
        <w:rPr/>
        <w:t xml:space="preserve">(5) This section expires January 1, 2025.</w:t>
      </w:r>
    </w:p>
    <w:p/>
    <w:p>
      <w:pPr>
        <w:jc w:val="center"/>
      </w:pPr>
      <w:r>
        <w:rPr>
          <w:b/>
        </w:rPr>
        <w:t>--- END ---</w:t>
      </w:r>
    </w:p>
    <w:sectPr>
      <w:pgNumType w:start="1"/>
      <w:footerReference xmlns:r="http://schemas.openxmlformats.org/officeDocument/2006/relationships" r:id="Rc71c43057bb149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6986ae1c554338" /><Relationship Type="http://schemas.openxmlformats.org/officeDocument/2006/relationships/footer" Target="/word/footer1.xml" Id="Rc71c43057bb14945" /></Relationships>
</file>