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ac2c23eae4595" /></Relationships>
</file>

<file path=word/document.xml><?xml version="1.0" encoding="utf-8"?>
<w:document xmlns:w="http://schemas.openxmlformats.org/wordprocessingml/2006/main">
  <w:body>
    <w:p>
      <w:r>
        <w:t>H-0906.1</w:t>
      </w:r>
    </w:p>
    <w:p>
      <w:pPr>
        <w:jc w:val="center"/>
      </w:pPr>
      <w:r>
        <w:t>_______________________________________________</w:t>
      </w:r>
    </w:p>
    <w:p/>
    <w:p>
      <w:pPr>
        <w:jc w:val="center"/>
      </w:pPr>
      <w:r>
        <w:rPr>
          <w:b/>
        </w:rPr>
        <w:t>SUBSTITUTE HOUSE BILL 1340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Thai, Berry, Ormsby, Chopp, Macri, Bergquist, Bateman, Simmons, Stonier, Berg, Duerr, Wylie, Senn, Taylor, Fitzgibbon, Cortes, Goodman, Reed, Lekanoff, Alvarado, Ramel, Kloba, Tharinger,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health professions disciplining authorities against license applicants and license holders for providing reproductive health care services or gender affirming treatment; amending RCW 18.130.180; reenacting and amending RCW 18.130.055; and adding a new section to chapter 18.130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2019 c 446 s 46 and 2019 c 444 s 24 are each reenacted and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r>
        <w:rPr>
          <w:u w:val="single"/>
        </w:rPr>
        <w:t xml:space="preserve">, except as provided in section 3 of this act</w:t>
      </w:r>
      <w:r>
        <w:rPr/>
        <w:t xml:space="preserve">;</w:t>
      </w:r>
    </w:p>
    <w:p>
      <w:pPr>
        <w:spacing w:before="0" w:after="0" w:line="408" w:lineRule="exact"/>
        <w:ind w:left="0" w:right="0" w:firstLine="576"/>
        <w:jc w:val="left"/>
      </w:pPr>
      <w:r>
        <w:rPr/>
        <w:t xml:space="preserve">(b) Has committed any act defined as unprofessional conduct for a license holder under RCW 18.130.180, except as provided in RCW 9.97.020 </w:t>
      </w:r>
      <w:r>
        <w:rPr>
          <w:u w:val="single"/>
        </w:rPr>
        <w:t xml:space="preserve">and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18.205.097, and 18.19.095.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section 3 of this act, the</w:t>
      </w:r>
      <w:r>
        <w:rPr/>
        <w:t xml:space="preserv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w:t>
      </w:r>
      <w:r>
        <w:t>((</w:t>
      </w:r>
      <w:r>
        <w:rPr>
          <w:strike/>
        </w:rPr>
        <w:t xml:space="preserve">Except when authorized by RCW 18.130.345, the</w:t>
      </w:r>
      <w:r>
        <w:t>))</w:t>
      </w:r>
      <w:r>
        <w:rPr/>
        <w:t xml:space="preserve"> </w:t>
      </w:r>
      <w:r>
        <w:rPr>
          <w:u w:val="single"/>
        </w:rPr>
        <w:t xml:space="preserve">The</w:t>
      </w:r>
      <w:r>
        <w:rPr/>
        <w:t xml:space="preserv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w:t>
      </w:r>
      <w:r>
        <w:t>((</w:t>
      </w:r>
      <w:r>
        <w:rPr>
          <w:strike/>
        </w:rPr>
        <w:t xml:space="preserve">The procuring, or aiding or abetting in procuring, a criminal abortion;</w:t>
      </w:r>
    </w:p>
    <w:p>
      <w:pPr>
        <w:spacing w:before="0" w:after="0" w:line="408" w:lineRule="exact"/>
        <w:ind w:left="0" w:right="0" w:firstLine="576"/>
        <w:jc w:val="left"/>
      </w:pPr>
      <w:r>
        <w:rPr>
          <w:strike/>
        </w:rPr>
        <w:t xml:space="preserve">(19)</w:t>
      </w:r>
      <w:r>
        <w:t>))</w:t>
      </w:r>
      <w:r>
        <w:rPr/>
        <w:t xml:space="preserve">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willful betrayal of a practitioner-patient privilege as recognized by law;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Violation of chapter 19.68 RCW or a pattern of violations of RCW 41.05.700(8), 48.43.735(8), 48.49.020, 48.49.030, 71.24.335(8), or 74.09.325(8);</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Abuse of a client or patient or sexual contact with a client or patient;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Violation of RCW 18.130.420;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Performing conversion therapy on a patient under age eighteen;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(b) A conviction or disciplinary action based solely on the license holder's violation of another state's laws prohibiting the provision of, authorization of, recommendation of, aiding in, assistance in, referral for, or other participation in any reproductive health care services or gender 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(b) A conviction or disciplinary action based solely on the license holder's violation of another state's laws prohibiting the provision of, authorization of, recommendation of, aiding in, assistance in, referral for, or other participation in any reproductive health care services or gender 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(3)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"Gender affirming treatment" means a service or product that a health care provider, as defined in RCW 70.02.010, provides to an individual to support and affirm the individual's gender identity. "Gender affirming treatment" includes, but is not limited to, treatment for gender dysphoria. "Gender 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
      <w:pPr>
        <w:jc w:val="center"/>
      </w:pPr>
      <w:r>
        <w:rPr>
          <w:b/>
        </w:rPr>
        <w:t>--- END ---</w:t>
      </w:r>
    </w:p>
    <w:sectPr>
      <w:pgNumType w:start="1"/>
      <w:footerReference xmlns:r="http://schemas.openxmlformats.org/officeDocument/2006/relationships" r:id="Ra929a48d70b949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1f63b85af04b09" /><Relationship Type="http://schemas.openxmlformats.org/officeDocument/2006/relationships/footer" Target="/word/footer1.xml" Id="Ra929a48d70b94982" /></Relationships>
</file>