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8f51be83a4489" /></Relationships>
</file>

<file path=word/document.xml><?xml version="1.0" encoding="utf-8"?>
<w:document xmlns:w="http://schemas.openxmlformats.org/wordprocessingml/2006/main">
  <w:body>
    <w:p>
      <w:r>
        <w:t>H-1174.3</w:t>
      </w:r>
    </w:p>
    <w:p>
      <w:pPr>
        <w:jc w:val="center"/>
      </w:pPr>
      <w:r>
        <w:t>_______________________________________________</w:t>
      </w:r>
    </w:p>
    <w:p/>
    <w:p>
      <w:pPr>
        <w:jc w:val="center"/>
      </w:pPr>
      <w:r>
        <w:rPr>
          <w:b/>
        </w:rPr>
        <w:t>SUBSTITUTE HOUSE BILL 1355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Wylie, Slatter, Orcutt, Harris, Leavitt, Orwall, Walen, Christian, Couture, Rule, Senn, Stokesbary, Graham, Kloba, Reed, Paul, Donaghy, Pollet, and Callan)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property tax exemptions for service-connected disabled veterans and senior citizens; amending RCW 84.36.381, 84.36.383, 84.36.385, and 84.38.020;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w:t>
      </w:r>
      <w:r>
        <w:t>((</w:t>
      </w:r>
      <w:r>
        <w:rPr>
          <w:strike/>
        </w:rPr>
        <w:t xml:space="preserve">eighty</w:t>
      </w:r>
      <w:r>
        <w:t>))</w:t>
      </w:r>
      <w:r>
        <w:rPr/>
        <w:t xml:space="preserve"> </w:t>
      </w:r>
      <w:r>
        <w:rPr>
          <w:u w:val="single"/>
        </w:rPr>
        <w:t xml:space="preserve">80</w:t>
      </w:r>
      <w:r>
        <w:rPr/>
        <w:t xml:space="preserve">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w:t>
      </w:r>
      <w:r>
        <w:t>((</w:t>
      </w:r>
      <w:r>
        <w:rPr>
          <w:strike/>
        </w:rPr>
        <w:t xml:space="preserve">fifty-seven</w:t>
      </w:r>
      <w:r>
        <w:t>))</w:t>
      </w:r>
      <w:r>
        <w:rPr/>
        <w:t xml:space="preserve"> </w:t>
      </w:r>
      <w:r>
        <w:rPr>
          <w:u w:val="single"/>
        </w:rPr>
        <w:t xml:space="preserve">57</w:t>
      </w:r>
      <w:r>
        <w:rPr/>
        <w:t xml:space="preserve"> years of age or older and otherwise meets the requirements of this section;</w:t>
      </w:r>
    </w:p>
    <w:p>
      <w:pPr>
        <w:spacing w:before="0" w:after="0" w:line="408" w:lineRule="exact"/>
        <w:ind w:left="0" w:right="0" w:firstLine="576"/>
        <w:jc w:val="left"/>
      </w:pPr>
      <w:r>
        <w:rPr/>
        <w:t xml:space="preserve">(4)</w:t>
      </w:r>
      <w:r>
        <w:rPr>
          <w:u w:val="single"/>
        </w:rPr>
        <w:t xml:space="preserve">(a)</w:t>
      </w:r>
      <w:r>
        <w:rPr/>
        <w:t xml:space="preserve"> The amount that the person is exempt from an obligation to pay is calculated on the basis of combined disposable income, as defined in RCW 84.36.383. </w:t>
      </w:r>
    </w:p>
    <w:p>
      <w:pPr>
        <w:spacing w:before="0" w:after="0" w:line="408" w:lineRule="exact"/>
        <w:ind w:left="0" w:right="0" w:firstLine="576"/>
        <w:jc w:val="left"/>
      </w:pPr>
      <w:r>
        <w:rPr>
          <w:u w:val="single"/>
        </w:rPr>
        <w:t xml:space="preserve">(b)</w:t>
      </w:r>
      <w:r>
        <w:rPr/>
        <w:t xml:space="preserve">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(c)</w:t>
      </w:r>
      <w:r>
        <w:rPr/>
        <w:t xml:space="preser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(d)(i) If the income of the person claiming the exemption increases as a result of a cost-of-living adjustment to social security benefits or supplemental security income in an amount that would disqualify the applicant from eligibility, the applicant is not disqualified but instead maintains eligibility.</w:t>
      </w:r>
    </w:p>
    <w:p>
      <w:pPr>
        <w:spacing w:before="0" w:after="0" w:line="408" w:lineRule="exact"/>
        <w:ind w:left="0" w:right="0" w:firstLine="576"/>
        <w:jc w:val="left"/>
      </w:pPr>
      <w:r>
        <w:rPr>
          <w:u w:val="single"/>
        </w:rPr>
        <w:t xml:space="preserve">(ii) The continued eligibility under this subsection applies to applications for property taxes levied for collection in calendar year 2024.</w:t>
      </w:r>
    </w:p>
    <w:p>
      <w:pPr>
        <w:spacing w:before="0" w:after="0" w:line="408" w:lineRule="exact"/>
        <w:ind w:left="0" w:right="0" w:firstLine="576"/>
        <w:jc w:val="left"/>
      </w:pPr>
      <w:r>
        <w:rPr>
          <w:u w:val="single"/>
        </w:rPr>
        <w:t xml:space="preserve">(e)</w:t>
      </w:r>
      <w:r>
        <w:rPr/>
        <w:t xml:space="preserve"> If it is necessary to estimate income to comply with this subsection </w:t>
      </w:r>
      <w:r>
        <w:rPr>
          <w:u w:val="single"/>
        </w:rPr>
        <w:t xml:space="preserve">(4)</w:t>
      </w:r>
      <w:r>
        <w:rPr/>
        <w:t xml:space="preserve">,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w:t>
      </w:r>
      <w:r>
        <w:t>((</w:t>
      </w:r>
      <w:r>
        <w:rPr>
          <w:strike/>
        </w:rPr>
        <w:t xml:space="preserve">fifty thousand dollars</w:t>
      </w:r>
      <w:r>
        <w:t>))</w:t>
      </w:r>
      <w:r>
        <w:rPr/>
        <w:t xml:space="preserve"> </w:t>
      </w:r>
      <w:r>
        <w:rPr>
          <w:u w:val="single"/>
        </w:rPr>
        <w:t xml:space="preserve">$50,000</w:t>
      </w:r>
      <w:r>
        <w:rPr/>
        <w:t xml:space="preserve"> or </w:t>
      </w:r>
      <w:r>
        <w:t>((</w:t>
      </w:r>
      <w:r>
        <w:rPr>
          <w:strike/>
        </w:rPr>
        <w:t xml:space="preserve">thirty-five</w:t>
      </w:r>
      <w:r>
        <w:t>))</w:t>
      </w:r>
      <w:r>
        <w:rPr/>
        <w:t xml:space="preserve"> </w:t>
      </w:r>
      <w:r>
        <w:rPr>
          <w:u w:val="single"/>
        </w:rPr>
        <w:t xml:space="preserve">35</w:t>
      </w:r>
      <w:r>
        <w:rPr/>
        <w:t xml:space="preserve"> percent of the valuation of his or her residence, but not to exceed </w:t>
      </w:r>
      <w:r>
        <w:t>((</w:t>
      </w:r>
      <w:r>
        <w:rPr>
          <w:strike/>
        </w:rPr>
        <w:t xml:space="preserve">seventy thousand dollars</w:t>
      </w:r>
      <w:r>
        <w:t>))</w:t>
      </w:r>
      <w:r>
        <w:rPr/>
        <w:t xml:space="preserve"> </w:t>
      </w:r>
      <w:r>
        <w:rPr>
          <w:u w:val="single"/>
        </w:rPr>
        <w:t xml:space="preserve">$70,000</w:t>
      </w:r>
      <w:r>
        <w:rPr/>
        <w:t xml:space="preserve">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w:t>
      </w:r>
      <w:r>
        <w:t>((</w:t>
      </w:r>
      <w:r>
        <w:rPr>
          <w:strike/>
        </w:rPr>
        <w:t xml:space="preserve">sixty thousand dollars</w:t>
      </w:r>
      <w:r>
        <w:t>))</w:t>
      </w:r>
      <w:r>
        <w:rPr/>
        <w:t xml:space="preserve"> </w:t>
      </w:r>
      <w:r>
        <w:rPr>
          <w:u w:val="single"/>
        </w:rPr>
        <w:t xml:space="preserve">$60,000</w:t>
      </w:r>
      <w:r>
        <w:rPr/>
        <w:t xml:space="preserve"> or </w:t>
      </w:r>
      <w:r>
        <w:t>((</w:t>
      </w:r>
      <w:r>
        <w:rPr>
          <w:strike/>
        </w:rPr>
        <w:t xml:space="preserve">sixty</w:t>
      </w:r>
      <w:r>
        <w:t>))</w:t>
      </w:r>
      <w:r>
        <w:rPr/>
        <w:t xml:space="preserve"> </w:t>
      </w:r>
      <w:r>
        <w:rPr>
          <w:u w:val="single"/>
        </w:rPr>
        <w:t xml:space="preserve">60</w:t>
      </w:r>
      <w:r>
        <w:rPr/>
        <w:t xml:space="preserve">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 thousand dollars</w:t>
      </w:r>
      <w:r>
        <w:t>))</w:t>
      </w:r>
      <w:r>
        <w:rPr/>
        <w:t xml:space="preserve"> </w:t>
      </w:r>
      <w:r>
        <w:rPr>
          <w:u w:val="single"/>
        </w:rPr>
        <w:t xml:space="preserve">$30,000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thirty-five thousand dollars</w:t>
      </w:r>
      <w:r>
        <w:t>))</w:t>
      </w:r>
      <w:r>
        <w:rPr/>
        <w:t xml:space="preserve"> </w:t>
      </w:r>
      <w:r>
        <w:rPr>
          <w:u w:val="single"/>
        </w:rPr>
        <w:t xml:space="preserve">$35,000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forty thousand dollars</w:t>
      </w:r>
      <w:r>
        <w:t>))</w:t>
      </w:r>
      <w:r>
        <w:rPr/>
        <w:t xml:space="preserve"> </w:t>
      </w:r>
      <w:r>
        <w:rPr>
          <w:u w:val="single"/>
        </w:rPr>
        <w:t xml:space="preserve">$40,000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2023</w:t>
      </w:r>
      <w:r>
        <w:rPr/>
        <w:t xml:space="preserve">, and by March 1st every </w:t>
      </w:r>
      <w:r>
        <w:t>((</w:t>
      </w:r>
      <w:r>
        <w:rPr>
          <w:strike/>
        </w:rPr>
        <w:t xml:space="preserve">fifth</w:t>
      </w:r>
      <w:r>
        <w:t>))</w:t>
      </w:r>
      <w:r>
        <w:rPr/>
        <w:t xml:space="preserve"> </w:t>
      </w:r>
      <w:r>
        <w:rPr>
          <w:u w:val="single"/>
        </w:rPr>
        <w:t xml:space="preserve">third</w:t>
      </w:r>
      <w:r>
        <w:rPr/>
        <w:t xml:space="preserve">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w:t>
      </w:r>
      <w:r>
        <w:t>((</w:t>
      </w:r>
      <w:r>
        <w:rPr>
          <w:strike/>
        </w:rPr>
        <w:t xml:space="preserve">March 1, 2024</w:t>
      </w:r>
      <w:r>
        <w:t>))</w:t>
      </w:r>
      <w:r>
        <w:rPr/>
        <w:t xml:space="preserve"> </w:t>
      </w:r>
      <w:r>
        <w:rPr>
          <w:u w:val="single"/>
        </w:rPr>
        <w:t xml:space="preserve">August 1, 2023</w:t>
      </w:r>
      <w:r>
        <w:rPr/>
        <w:t xml:space="preserve">, as provided in subsection (8) of this section, and every </w:t>
      </w:r>
      <w:r>
        <w:t>((</w:t>
      </w:r>
      <w:r>
        <w:rPr>
          <w:strike/>
        </w:rPr>
        <w:t xml:space="preserve">second</w:t>
      </w:r>
      <w:r>
        <w:t>))</w:t>
      </w:r>
      <w:r>
        <w:rPr/>
        <w:t xml:space="preserve"> adjustment thereafter, if an income threshold in a county is not adjusted based on percentage of county median income, then the income threshold must be adjusted based on the growth of the seasonally adjusted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years prior to 2020, a combined disposable income equal to </w:t>
      </w:r>
      <w:r>
        <w:t>((</w:t>
      </w:r>
      <w:r>
        <w:rPr>
          <w:strike/>
        </w:rPr>
        <w:t xml:space="preserve">forty-five thousand dollars</w:t>
      </w:r>
      <w:r>
        <w:t>))</w:t>
      </w:r>
      <w:r>
        <w:rPr/>
        <w:t xml:space="preserve"> </w:t>
      </w:r>
      <w:r>
        <w:rPr>
          <w:u w:val="single"/>
        </w:rPr>
        <w:t xml:space="preserve">$45,000</w:t>
      </w:r>
      <w:r>
        <w:rPr/>
        <w:t xml:space="preserve">; and (b) for taxes levied for collection in calendar year 2020 and thereafter, a combined disposable income equal to the greater of the income threshold for the previous year, or </w:t>
      </w:r>
      <w:r>
        <w:t>((</w:t>
      </w:r>
      <w:r>
        <w:rPr>
          <w:strike/>
        </w:rPr>
        <w:t xml:space="preserve">seventy-five</w:t>
      </w:r>
      <w:r>
        <w:t>))</w:t>
      </w:r>
      <w:r>
        <w:rPr/>
        <w:t xml:space="preserve"> </w:t>
      </w:r>
      <w:r>
        <w:rPr>
          <w:u w:val="single"/>
        </w:rPr>
        <w:t xml:space="preserve">75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 Beginning with the adjustment made by </w:t>
      </w:r>
      <w:r>
        <w:t>((</w:t>
      </w:r>
      <w:r>
        <w:rPr>
          <w:strike/>
        </w:rPr>
        <w:t xml:space="preserve">March 1, 2024</w:t>
      </w:r>
      <w:r>
        <w:t>))</w:t>
      </w:r>
      <w:r>
        <w:rPr/>
        <w:t xml:space="preserve"> </w:t>
      </w:r>
      <w:r>
        <w:rPr>
          <w:u w:val="single"/>
        </w:rPr>
        <w:t xml:space="preserve">August 1, 2023</w:t>
      </w:r>
      <w:r>
        <w:rPr/>
        <w:t xml:space="preserve">, as provided in RCW 84.36.385(8), </w:t>
      </w:r>
      <w:r>
        <w:t>((</w:t>
      </w:r>
      <w:r>
        <w:rPr>
          <w:strike/>
        </w:rPr>
        <w:t xml:space="preserve">and every second adjustment thereafter,</w:t>
      </w:r>
      <w:r>
        <w:t>))</w:t>
      </w:r>
      <w:r>
        <w:rPr/>
        <w:t xml:space="preserve">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for this specific purpose, the department of revenue must engage in statewide outreach to provide public notification of the changes in income thresholds as the result of this act, as well as information on the application process for the exemption under RCW 84.36.381.</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515698498e414a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5dc90c9774e39" /><Relationship Type="http://schemas.openxmlformats.org/officeDocument/2006/relationships/footer" Target="/word/footer1.xml" Id="R515698498e414af7" /></Relationships>
</file>