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44e768ac6a4cb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Stearns, Reeves, Abbarno, Gregerson, Lekanoff, and Tharinger; by request of Office of Financial Management)</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government efficiency related to reports by state agencies by eliminating reports, changing the frequency of reports, and providing an alternative method for having information publicly available in place of reports; amending RCW 43.43.545, 43.63A.510, 43.280.100, 48.43.0128, 61.24.163, 70A.420.050, 72.09.620, 77.135.090, 28B.77.220, 35.90.020, 43.21A.150, 43.60A.240, 43.61.040, 43.63A.068, 43.105.369, 47.01.330, 54.16.425, 72.09.765, 77.32.555, 82.14.470, and 82.32.765; creating a new section; and repealing RCW 13.32A.045, 19.02.055, 19.280.060, 43.31.980, 43.60A.101, and 62A.9A-527.</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requiring state agencies to report to the legislature is an important method of providing information and keeping the legislature informed on the implementation and impacts of legislation. Some reports provide information that is no longer relevant or useful to the legislature, which can be discerned by the lack of interest in the report. There are other reports that are redundant as the information is provided through other means. In addition, preparing reports is time consuming, and there may be better, more efficient mechanisms for sharing information with legislators as well as the public, such as posting the information on agency websites. Finally, some reports are required on a more frequent basis than is necessary, as the information does not change to an extent that merits the increased frequency.</w:t>
      </w:r>
    </w:p>
    <w:p>
      <w:pPr>
        <w:spacing w:before="0" w:after="0" w:line="408" w:lineRule="exact"/>
        <w:ind w:left="0" w:right="0" w:firstLine="576"/>
        <w:jc w:val="left"/>
      </w:pPr>
      <w:r>
        <w:rPr/>
        <w:t xml:space="preserve">(2) In order to improve agency efficiency and still ensure that information is publicly available and provided to the legislature as needed, it is the intent of this act to eliminate reports that no longer serve a relevant purpose, change reporting frequency where warranted, and provide alternative mechanisms in place of submitting reports where appropriate.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MODIFICATIONS TO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2020 c 26 s 6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Designate sexual assault kits as unreported or reported;</w:t>
      </w:r>
    </w:p>
    <w:p>
      <w:pPr>
        <w:spacing w:before="0" w:after="0" w:line="408" w:lineRule="exact"/>
        <w:ind w:left="0" w:right="0" w:firstLine="576"/>
        <w:jc w:val="left"/>
      </w:pPr>
      <w:r>
        <w:rPr/>
        <w:t xml:space="preserve">(c) Indicate whether a sexual assault kit contains biological materials collected for the purpose of forensic toxicological analysis;</w:t>
      </w:r>
    </w:p>
    <w:p>
      <w:pPr>
        <w:spacing w:before="0" w:after="0" w:line="408" w:lineRule="exact"/>
        <w:ind w:left="0" w:right="0" w:firstLine="576"/>
        <w:jc w:val="left"/>
      </w:pPr>
      <w:r>
        <w:rPr/>
        <w:t xml:space="preserve">(d) Allow medical facilities performing sexual assault forensic examinations, law enforcement agencies, prosecutors, the Washington state patrol bureau of forensic laboratory services, and other entities having custody of sexual assault kits to update and track the status and location of sexual assault kits;</w:t>
      </w:r>
    </w:p>
    <w:p>
      <w:pPr>
        <w:spacing w:before="0" w:after="0" w:line="408" w:lineRule="exact"/>
        <w:ind w:left="0" w:right="0" w:firstLine="576"/>
        <w:jc w:val="left"/>
      </w:pPr>
      <w:r>
        <w:rPr/>
        <w:t xml:space="preserve">(e) Allow victims of sexual assault to anonymously track or receive updates regarding the status of their sexual assault kits; and</w:t>
      </w:r>
    </w:p>
    <w:p>
      <w:pPr>
        <w:spacing w:before="0" w:after="0" w:line="408" w:lineRule="exact"/>
        <w:ind w:left="0" w:right="0" w:firstLine="576"/>
        <w:jc w:val="left"/>
      </w:pPr>
      <w:r>
        <w:rPr/>
        <w:t xml:space="preserve">(f)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having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w:t>
      </w:r>
      <w:r>
        <w:t>((</w:t>
      </w:r>
      <w:r>
        <w:rPr>
          <w:strike/>
        </w:rPr>
        <w:t xml:space="preserve">a semiannual</w:t>
      </w:r>
      <w:r>
        <w:t>))</w:t>
      </w:r>
      <w:r>
        <w:rPr/>
        <w:t xml:space="preserve"> </w:t>
      </w:r>
      <w:r>
        <w:rPr>
          <w:u w:val="single"/>
        </w:rPr>
        <w:t xml:space="preserve">an annual</w:t>
      </w:r>
      <w:r>
        <w:rPr/>
        <w:t xml:space="preserve">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website. The first report is due </w:t>
      </w:r>
      <w:r>
        <w:t>((</w:t>
      </w:r>
      <w:r>
        <w:rPr>
          <w:strike/>
        </w:rPr>
        <w:t xml:space="preserve">July 31, 2018</w:t>
      </w:r>
      <w:r>
        <w:t>))</w:t>
      </w:r>
      <w:r>
        <w:rPr/>
        <w:t xml:space="preserve"> </w:t>
      </w:r>
      <w:r>
        <w:rPr>
          <w:u w:val="single"/>
        </w:rPr>
        <w:t xml:space="preserve">January 31, 2024</w:t>
      </w:r>
      <w:r>
        <w:rPr/>
        <w:t xml:space="preserve">, and subsequent reports are due January 31st </w:t>
      </w:r>
      <w:r>
        <w:t>((</w:t>
      </w:r>
      <w:r>
        <w:rPr>
          <w:strike/>
        </w:rPr>
        <w:t xml:space="preserve">and July 31st</w:t>
      </w:r>
      <w:r>
        <w:t>))</w:t>
      </w:r>
      <w:r>
        <w:rPr/>
        <w:t xml:space="preserve">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having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t xml:space="preserve">(7) The Washington state patrol shall adopt rules as necessary to implement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"Reported sexual assault kit" means a sexual assault kit where a law enforcement agency has received a related report or complaint alleging a sexual assault or other crime has occurred;</w:t>
      </w:r>
    </w:p>
    <w:p>
      <w:pPr>
        <w:spacing w:before="0" w:after="0" w:line="408" w:lineRule="exact"/>
        <w:ind w:left="0" w:right="0" w:firstLine="576"/>
        <w:jc w:val="left"/>
      </w:pPr>
      <w:r>
        <w:rPr/>
        <w:t xml:space="preserve">(b) "Sexual assault kit" includes all evidence collected during a sexual assault medical forensic examination; and</w:t>
      </w:r>
    </w:p>
    <w:p>
      <w:pPr>
        <w:spacing w:before="0" w:after="0" w:line="408" w:lineRule="exact"/>
        <w:ind w:left="0" w:right="0" w:firstLine="576"/>
        <w:jc w:val="left"/>
      </w:pPr>
      <w:r>
        <w:rPr/>
        <w:t xml:space="preserve">(c) "Unreported sexual assault kit" means a sexual assault kit where a law enforcement agency has not received a related report or complaint alleging a sexual assault or other crime has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2018 c 217 s 1 are each amended to read as follows:</w:t>
      </w:r>
    </w:p>
    <w:p>
      <w:pPr>
        <w:spacing w:before="0" w:after="0" w:line="408" w:lineRule="exact"/>
        <w:ind w:left="0" w:right="0" w:firstLine="576"/>
        <w:jc w:val="left"/>
      </w:pPr>
      <w:r>
        <w:rPr/>
        <w:t xml:space="preserve">(1) The department must work with the designated agencies to identify, catalog, and recommend best use of under-utilized, state-owned land and property suitable for the development of affordable housing for very low-income, low-income or moderate-income households. The designated agencies must provide an inventory of real property that is owned or administered by each agency and is vacant or available for lease or sale. The department must work with the designated agencies to include in the inventories a consolidated list of any property transactions executed by the agencies under the authority of RCW 39.33.015, including the property appraisal, the terms and conditions of sale, lease, or transfer, the value of the public benefit, and the impact of transaction to the agency. The inventories with revisions must be provided to the department by November 1st of each year.</w:t>
      </w:r>
    </w:p>
    <w:p>
      <w:pPr>
        <w:spacing w:before="0" w:after="0" w:line="408" w:lineRule="exact"/>
        <w:ind w:left="0" w:right="0" w:firstLine="576"/>
        <w:jc w:val="left"/>
      </w:pPr>
      <w:r>
        <w:rPr/>
        <w:t xml:space="preserve">(2) 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w:t>
      </w:r>
      <w:r>
        <w:t>((</w:t>
      </w:r>
      <w:r>
        <w:rPr>
          <w:strike/>
        </w:rPr>
        <w:t xml:space="preserve">to the office of financial management and appropriate policy and fiscal committees of the legislature</w:t>
      </w:r>
      <w:r>
        <w:t>))</w:t>
      </w:r>
      <w:r>
        <w:rPr/>
        <w:t xml:space="preserve"> </w:t>
      </w:r>
      <w:r>
        <w:rPr>
          <w:u w:val="single"/>
        </w:rPr>
        <w:t xml:space="preserve">by posting the information on the department's website</w:t>
      </w:r>
      <w:r>
        <w:rPr/>
        <w:t xml:space="preserve"> by December 1st of each year.</w:t>
      </w:r>
    </w:p>
    <w:p>
      <w:pPr>
        <w:spacing w:before="0" w:after="0" w:line="408" w:lineRule="exact"/>
        <w:ind w:left="0" w:right="0" w:firstLine="576"/>
        <w:jc w:val="left"/>
      </w:pPr>
      <w:r>
        <w:rPr/>
        <w:t xml:space="preserve">(3)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t xml:space="preserve">(i) Receiving the property within one hundred eighty days; and</w:t>
      </w:r>
    </w:p>
    <w:p>
      <w:pPr>
        <w:spacing w:before="0" w:after="0" w:line="408" w:lineRule="exact"/>
        <w:ind w:left="0" w:right="0" w:firstLine="576"/>
        <w:jc w:val="left"/>
      </w:pPr>
      <w:r>
        <w:rPr/>
        <w:t xml:space="preserve">(ii) Creating affordable housing units for occupancy within thirty-six months from the time of transfer.</w:t>
      </w:r>
    </w:p>
    <w:p>
      <w:pPr>
        <w:spacing w:before="0" w:after="0" w:line="408" w:lineRule="exact"/>
        <w:ind w:left="0" w:right="0" w:firstLine="576"/>
        <w:jc w:val="left"/>
      </w:pPr>
      <w:r>
        <w:rPr/>
        <w:t xml:space="preserve">(f) "Designated agencies" means the Washington state patrol, the state parks and recreation commission, and the departments of natural resources, social and health services, corrections, and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100</w:t>
      </w:r>
      <w:r>
        <w:rPr/>
        <w:t xml:space="preserve"> and 2013 c 121 s 7 are each amended to read as follows:</w:t>
      </w:r>
    </w:p>
    <w:p>
      <w:pPr>
        <w:spacing w:before="0" w:after="0" w:line="408" w:lineRule="exact"/>
        <w:ind w:left="0" w:right="0" w:firstLine="576"/>
        <w:jc w:val="left"/>
      </w:pPr>
      <w:r>
        <w:rPr/>
        <w:t xml:space="preserve">(1) The department of commerce shall </w:t>
      </w:r>
      <w:r>
        <w:rPr>
          <w:u w:val="single"/>
        </w:rPr>
        <w:t xml:space="preserve">annually</w:t>
      </w:r>
      <w:r>
        <w:rPr/>
        <w:t xml:space="preserve"> prepare and </w:t>
      </w:r>
      <w:r>
        <w:t>((</w:t>
      </w:r>
      <w:r>
        <w:rPr>
          <w:strike/>
        </w:rPr>
        <w:t xml:space="preserve">submit an annual report to the legislature</w:t>
      </w:r>
      <w:r>
        <w:t>))</w:t>
      </w:r>
      <w:r>
        <w:rPr/>
        <w:t xml:space="preserve"> </w:t>
      </w:r>
      <w:r>
        <w:rPr>
          <w:u w:val="single"/>
        </w:rPr>
        <w:t xml:space="preserve">post,</w:t>
      </w:r>
      <w:r>
        <w:rPr/>
        <w:t xml:space="preserve"> on </w:t>
      </w:r>
      <w:r>
        <w:rPr>
          <w:u w:val="single"/>
        </w:rPr>
        <w:t xml:space="preserve">the department's website,</w:t>
      </w:r>
      <w:r>
        <w:rPr/>
        <w:t xml:space="preserve"> the amount of revenue collected by local jurisdictions under RCW 9.68A.105, 9A.88.120, or 9A.88.140 and the expenditure of that revenue.</w:t>
      </w:r>
    </w:p>
    <w:p>
      <w:pPr>
        <w:spacing w:before="0" w:after="0" w:line="408" w:lineRule="exact"/>
        <w:ind w:left="0" w:right="0" w:firstLine="576"/>
        <w:jc w:val="left"/>
      </w:pPr>
      <w:r>
        <w:rPr/>
        <w:t xml:space="preserve">(2) Any funds remitted to the department of commerce pursuant to RCW 9.68A.105, 9A.88.120, or 9A.88.140 shall be spent on the fulfillment of the duties described in subsection (1) of this section. Any remaining funds may be spent on the administration of grants for services for victims of the commercial sex trade,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2021 c 280 s 3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 carrier from appropriately utilizing reasonable medical management techniques.</w:t>
      </w:r>
    </w:p>
    <w:p>
      <w:pPr>
        <w:spacing w:before="0" w:after="0" w:line="408" w:lineRule="exact"/>
        <w:ind w:left="0" w:right="0" w:firstLine="576"/>
        <w:jc w:val="left"/>
      </w:pPr>
      <w:r>
        <w:rPr/>
        <w:t xml:space="preserve">(3) For health plans issued or renewed on or after January 1, 2022:</w:t>
      </w:r>
    </w:p>
    <w:p>
      <w:pPr>
        <w:spacing w:before="0" w:after="0" w:line="408" w:lineRule="exact"/>
        <w:ind w:left="0" w:right="0" w:firstLine="576"/>
        <w:jc w:val="left"/>
      </w:pPr>
      <w:r>
        <w:rPr/>
        <w:t xml:space="preserve">(a) A health carrier may not deny or limit coverage for gender 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t xml:space="preserve">(b) A health carrier may not apply categorical cosmetic or blanket exclusions to gender affirming treatment. When prescribed as medically necessary gender affirming treatment, a health carrier may not exclude as cosmetic services facial feminization surgeries and other facial gender affirming treatment, such as tracheal shaves, hair electrolysis, and other care such as mastectomies, breast reductions, breast implants, or any combination of gender affirming procedures, including revisions to prior treatment.</w:t>
      </w:r>
    </w:p>
    <w:p>
      <w:pPr>
        <w:spacing w:before="0" w:after="0" w:line="408" w:lineRule="exact"/>
        <w:ind w:left="0" w:right="0" w:firstLine="576"/>
        <w:jc w:val="left"/>
      </w:pPr>
      <w:r>
        <w:rPr/>
        <w:t xml:space="preserve">(c) A health carrier may not issue an adverse benefit determination denying or limiting access to gender affirming services, unless a health care provider with experience prescribing or delivering gender affirming treatment has reviewed and confirmed the appropriateness of the adverse benefit determination.</w:t>
      </w:r>
    </w:p>
    <w:p>
      <w:pPr>
        <w:spacing w:before="0" w:after="0" w:line="408" w:lineRule="exact"/>
        <w:ind w:left="0" w:right="0" w:firstLine="576"/>
        <w:jc w:val="left"/>
      </w:pPr>
      <w:r>
        <w:rPr/>
        <w:t xml:space="preserve">(d) Health carriers must comply with all network access rules and requirements established by the commissioner.</w:t>
      </w:r>
    </w:p>
    <w:p>
      <w:pPr>
        <w:spacing w:before="0" w:after="0" w:line="408" w:lineRule="exact"/>
        <w:ind w:left="0" w:right="0" w:firstLine="576"/>
        <w:jc w:val="left"/>
      </w:pPr>
      <w:r>
        <w:rPr/>
        <w:t xml:space="preserve">(4) For the purposes of this section, "gender affirming treatment" means a service or product that a health care provider, as defined in RCW 70.02.010, prescribes to an individual to treat any condition related to the individual's gender identity and is prescribed in accordance with generally accepted standards of care. Gender affirming treatment must be covered in a manner compliant with the federal mental health parity and addiction equity act of 2008 and the federal affordable care act. Gender affirming treatment can be prescribed to two spirit, transgender, nonbinary, intersex, and other gender diverse individuals.</w:t>
      </w:r>
    </w:p>
    <w:p>
      <w:pPr>
        <w:spacing w:before="0" w:after="0" w:line="408" w:lineRule="exact"/>
        <w:ind w:left="0" w:right="0" w:firstLine="576"/>
        <w:jc w:val="left"/>
      </w:pPr>
      <w:r>
        <w:rPr/>
        <w:t xml:space="preserve">(5) Nothing in this section may be construed to mandate coverage of a service that is not medically necessary.</w:t>
      </w:r>
    </w:p>
    <w:p>
      <w:pPr>
        <w:spacing w:before="0" w:after="0" w:line="408" w:lineRule="exact"/>
        <w:ind w:left="0" w:right="0" w:firstLine="576"/>
        <w:jc w:val="left"/>
      </w:pPr>
      <w:r>
        <w:rPr/>
        <w:t xml:space="preserve">(6) By December 1, 2022, the commissioner, in consultation with the health care authority and the department of health, must issue a report on geographic access to gender affirming treatment across the state. The report must include the number of gender affirming providers offering care in each county, the carriers and medicaid managed care organizations those providers have active contracts with, and the types of services provided by each provider in each region. The commissioner must update the report </w:t>
      </w:r>
      <w:r>
        <w:t>((</w:t>
      </w:r>
      <w:r>
        <w:rPr>
          <w:strike/>
        </w:rPr>
        <w:t xml:space="preserve">biannually</w:t>
      </w:r>
      <w:r>
        <w:t>))</w:t>
      </w:r>
      <w:r>
        <w:rPr/>
        <w:t xml:space="preserve"> </w:t>
      </w:r>
      <w:r>
        <w:rPr>
          <w:u w:val="single"/>
        </w:rPr>
        <w:t xml:space="preserve">biennially</w:t>
      </w:r>
      <w:r>
        <w:rPr/>
        <w:t xml:space="preserve"> and post the report on its website.</w:t>
      </w:r>
    </w:p>
    <w:p>
      <w:pPr>
        <w:spacing w:before="0" w:after="0" w:line="408" w:lineRule="exact"/>
        <w:ind w:left="0" w:right="0" w:firstLine="576"/>
        <w:jc w:val="left"/>
      </w:pPr>
      <w:r>
        <w:rPr/>
        <w:t xml:space="preserve">(7) The commissioner shall adopt any rules necessary to implement subsections (3), (4), and (5) of this section.</w:t>
      </w:r>
    </w:p>
    <w:p>
      <w:pPr>
        <w:spacing w:before="0" w:after="0" w:line="408" w:lineRule="exact"/>
        <w:ind w:left="0" w:right="0" w:firstLine="576"/>
        <w:jc w:val="left"/>
      </w:pPr>
      <w:r>
        <w:rPr/>
        <w:t xml:space="preserve">(8) Unless preempted by federal law, the commissioner shall adopt any rules necessary to implement subsections (1) and (2) of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2018 c 306 s 6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twenty days after the date a notice of sale has been recorded.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ten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twenty</w:t>
      </w:r>
      <w:r>
        <w:rPr/>
        <w:noBreakHyphen/>
      </w:r>
      <w:r>
        <w:rPr/>
        <w:t xml:space="preserve">three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twenty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thirty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ninety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seventy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thirty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sixty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ten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four hundred dollars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thirty calendar days from receipt of the department's letter referring the parties to mediation or pursuant to the mediator's instructions.</w:t>
      </w:r>
    </w:p>
    <w:p>
      <w:pPr>
        <w:spacing w:before="0" w:after="0" w:line="408" w:lineRule="exact"/>
        <w:ind w:left="0" w:right="0" w:firstLine="576"/>
        <w:jc w:val="left"/>
      </w:pPr>
      <w:r>
        <w:rPr/>
        <w:t xml:space="preserve">(18) </w:t>
      </w:r>
      <w:r>
        <w:t>((</w:t>
      </w:r>
      <w:r>
        <w:rPr>
          <w:strike/>
        </w:rPr>
        <w:t xml:space="preserve">Beginning December 1, 2012, and every year thereafter, the</w:t>
      </w:r>
      <w:r>
        <w:t>))</w:t>
      </w:r>
      <w:r>
        <w:rPr/>
        <w:t xml:space="preserve"> </w:t>
      </w:r>
      <w:r>
        <w:rPr>
          <w:u w:val="single"/>
        </w:rPr>
        <w:t xml:space="preserve">The</w:t>
      </w:r>
      <w:r>
        <w:rPr/>
        <w:t xml:space="preserve"> department shall report annually </w:t>
      </w:r>
      <w:r>
        <w:t>((</w:t>
      </w:r>
      <w:r>
        <w:rPr>
          <w:strike/>
        </w:rPr>
        <w:t xml:space="preserve">to the legislature on</w:t>
      </w:r>
      <w:r>
        <w:t>))</w:t>
      </w:r>
      <w:r>
        <w:rPr/>
        <w:t xml:space="preserve"> </w:t>
      </w:r>
      <w:r>
        <w:rPr>
          <w:u w:val="single"/>
        </w:rPr>
        <w:t xml:space="preserve">by posting the following information on the department's website</w:t>
      </w:r>
      <w:r>
        <w:rPr/>
        <w:t xml:space="preserve">:</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050</w:t>
      </w:r>
      <w:r>
        <w:rPr/>
        <w:t xml:space="preserve"> and 2020 c 20 s 1274 are each amended to read as follows:</w:t>
      </w:r>
    </w:p>
    <w:p>
      <w:pPr>
        <w:spacing w:before="0" w:after="0" w:line="408" w:lineRule="exact"/>
        <w:ind w:left="0" w:right="0" w:firstLine="576"/>
        <w:jc w:val="left"/>
      </w:pPr>
      <w:r>
        <w:rPr/>
        <w:t xml:space="preserve">The department shall adopt rules to:</w:t>
      </w:r>
    </w:p>
    <w:p>
      <w:pPr>
        <w:spacing w:before="0" w:after="0" w:line="408" w:lineRule="exact"/>
        <w:ind w:left="0" w:right="0" w:firstLine="576"/>
        <w:jc w:val="left"/>
      </w:pPr>
      <w:r>
        <w:rPr/>
        <w:t xml:space="preserve">(1) Establish procedures and requirements for the accreditation of lead-based paint activities training programs including, but not limited to, the following:</w:t>
      </w:r>
    </w:p>
    <w:p>
      <w:pPr>
        <w:spacing w:before="0" w:after="0" w:line="408" w:lineRule="exact"/>
        <w:ind w:left="0" w:right="0" w:firstLine="576"/>
        <w:jc w:val="left"/>
      </w:pPr>
      <w:r>
        <w:rPr/>
        <w:t xml:space="preserve">(a) Training curriculum;</w:t>
      </w:r>
    </w:p>
    <w:p>
      <w:pPr>
        <w:spacing w:before="0" w:after="0" w:line="408" w:lineRule="exact"/>
        <w:ind w:left="0" w:right="0" w:firstLine="576"/>
        <w:jc w:val="left"/>
      </w:pPr>
      <w:r>
        <w:rPr/>
        <w:t xml:space="preserve">(b) Training hours;</w:t>
      </w:r>
    </w:p>
    <w:p>
      <w:pPr>
        <w:spacing w:before="0" w:after="0" w:line="408" w:lineRule="exact"/>
        <w:ind w:left="0" w:right="0" w:firstLine="576"/>
        <w:jc w:val="left"/>
      </w:pPr>
      <w:r>
        <w:rPr/>
        <w:t xml:space="preserve">(c) Hands-on training;</w:t>
      </w:r>
    </w:p>
    <w:p>
      <w:pPr>
        <w:spacing w:before="0" w:after="0" w:line="408" w:lineRule="exact"/>
        <w:ind w:left="0" w:right="0" w:firstLine="576"/>
        <w:jc w:val="left"/>
      </w:pPr>
      <w:r>
        <w:rPr/>
        <w:t xml:space="preserve">(d) Trainee competency and proficiency;</w:t>
      </w:r>
    </w:p>
    <w:p>
      <w:pPr>
        <w:spacing w:before="0" w:after="0" w:line="408" w:lineRule="exact"/>
        <w:ind w:left="0" w:right="0" w:firstLine="576"/>
        <w:jc w:val="left"/>
      </w:pPr>
      <w:r>
        <w:rPr/>
        <w:t xml:space="preserve">(e) Training program quality control;</w:t>
      </w:r>
    </w:p>
    <w:p>
      <w:pPr>
        <w:spacing w:before="0" w:after="0" w:line="408" w:lineRule="exact"/>
        <w:ind w:left="0" w:right="0" w:firstLine="576"/>
        <w:jc w:val="left"/>
      </w:pPr>
      <w:r>
        <w:rPr/>
        <w:t xml:space="preserve">(f) Procedures for the reaccreditation of training programs;</w:t>
      </w:r>
    </w:p>
    <w:p>
      <w:pPr>
        <w:spacing w:before="0" w:after="0" w:line="408" w:lineRule="exact"/>
        <w:ind w:left="0" w:right="0" w:firstLine="576"/>
        <w:jc w:val="left"/>
      </w:pPr>
      <w:r>
        <w:rPr/>
        <w:t xml:space="preserve">(g) Procedures for the oversight of training programs; and</w:t>
      </w:r>
    </w:p>
    <w:p>
      <w:pPr>
        <w:spacing w:before="0" w:after="0" w:line="408" w:lineRule="exact"/>
        <w:ind w:left="0" w:right="0" w:firstLine="576"/>
        <w:jc w:val="left"/>
      </w:pPr>
      <w:r>
        <w:rPr/>
        <w:t xml:space="preserve">(h) Procedures for the suspension, revocation, or modification of training program accreditations, or acceptance of training offered by an accredited training provider in another state or Indian tribe authorized by the environmental protection agency;</w:t>
      </w:r>
    </w:p>
    <w:p>
      <w:pPr>
        <w:spacing w:before="0" w:after="0" w:line="408" w:lineRule="exact"/>
        <w:ind w:left="0" w:right="0" w:firstLine="576"/>
        <w:jc w:val="left"/>
      </w:pPr>
      <w:r>
        <w:rPr/>
        <w:t xml:space="preserve">(2) Establish procedures for the purposes of certification, for the acceptance of training offered by an accredited training provider in a state or Indian tribe authorized by the environmental protection agency;</w:t>
      </w:r>
    </w:p>
    <w:p>
      <w:pPr>
        <w:spacing w:before="0" w:after="0" w:line="408" w:lineRule="exact"/>
        <w:ind w:left="0" w:right="0" w:firstLine="576"/>
        <w:jc w:val="left"/>
      </w:pPr>
      <w:r>
        <w:rPr/>
        <w:t xml:space="preserve">(3) Certify individuals involved in lead-based paint activities to ensure that certified individuals are trained by an accredited training program and possess appropriate educational or experience qualifications for certification;</w:t>
      </w:r>
    </w:p>
    <w:p>
      <w:pPr>
        <w:spacing w:before="0" w:after="0" w:line="408" w:lineRule="exact"/>
        <w:ind w:left="0" w:right="0" w:firstLine="576"/>
        <w:jc w:val="left"/>
      </w:pPr>
      <w:r>
        <w:rPr/>
        <w:t xml:space="preserve">(4) Establish procedures for recertification;</w:t>
      </w:r>
    </w:p>
    <w:p>
      <w:pPr>
        <w:spacing w:before="0" w:after="0" w:line="408" w:lineRule="exact"/>
        <w:ind w:left="0" w:right="0" w:firstLine="576"/>
        <w:jc w:val="left"/>
      </w:pPr>
      <w:r>
        <w:rPr/>
        <w:t xml:space="preserve">(5) Require the conduct of lead-based paint activities in accordance with work practice standards;</w:t>
      </w:r>
    </w:p>
    <w:p>
      <w:pPr>
        <w:spacing w:before="0" w:after="0" w:line="408" w:lineRule="exact"/>
        <w:ind w:left="0" w:right="0" w:firstLine="576"/>
        <w:jc w:val="left"/>
      </w:pPr>
      <w:r>
        <w:rPr/>
        <w:t xml:space="preserve">(6) Establish procedures for the suspension, revocation, or modification of certifications;</w:t>
      </w:r>
    </w:p>
    <w:p>
      <w:pPr>
        <w:spacing w:before="0" w:after="0" w:line="408" w:lineRule="exact"/>
        <w:ind w:left="0" w:right="0" w:firstLine="576"/>
        <w:jc w:val="left"/>
      </w:pPr>
      <w:r>
        <w:rPr/>
        <w:t xml:space="preserve">(7) Establish requirements for the administration of third-party certification exams;</w:t>
      </w:r>
    </w:p>
    <w:p>
      <w:pPr>
        <w:spacing w:before="0" w:after="0" w:line="408" w:lineRule="exact"/>
        <w:ind w:left="0" w:right="0" w:firstLine="576"/>
        <w:jc w:val="left"/>
      </w:pPr>
      <w:r>
        <w:rPr/>
        <w:t xml:space="preserve">(8) Use laboratories accredited under the environmental protection agency's national lead laboratory accreditation program;</w:t>
      </w:r>
    </w:p>
    <w:p>
      <w:pPr>
        <w:spacing w:before="0" w:after="0" w:line="408" w:lineRule="exact"/>
        <w:ind w:left="0" w:right="0" w:firstLine="576"/>
        <w:jc w:val="left"/>
      </w:pPr>
      <w:r>
        <w:rPr/>
        <w:t xml:space="preserve">(9) Establish work practice standards for the conduct of lead-based paint activities, as defined in RCW 70A.420.020;</w:t>
      </w:r>
    </w:p>
    <w:p>
      <w:pPr>
        <w:spacing w:before="0" w:after="0" w:line="408" w:lineRule="exact"/>
        <w:ind w:left="0" w:right="0" w:firstLine="576"/>
        <w:jc w:val="left"/>
      </w:pPr>
      <w:r>
        <w:rPr/>
        <w:t xml:space="preserve">(10) Establish an enforcement response policy that shall include:</w:t>
      </w:r>
    </w:p>
    <w:p>
      <w:pPr>
        <w:spacing w:before="0" w:after="0" w:line="408" w:lineRule="exact"/>
        <w:ind w:left="0" w:right="0" w:firstLine="576"/>
        <w:jc w:val="left"/>
      </w:pPr>
      <w:r>
        <w:rPr/>
        <w:t xml:space="preserve">(a) Warning letters, notices of noncompliance, notices of violation, or the equivalent;</w:t>
      </w:r>
    </w:p>
    <w:p>
      <w:pPr>
        <w:spacing w:before="0" w:after="0" w:line="408" w:lineRule="exact"/>
        <w:ind w:left="0" w:right="0" w:firstLine="576"/>
        <w:jc w:val="left"/>
      </w:pPr>
      <w:r>
        <w:rPr/>
        <w:t xml:space="preserve">(b) Administrative or civil actions, including penalty authority, including accreditation or certification suspension, revocation, or modification; and</w:t>
      </w:r>
    </w:p>
    <w:p>
      <w:pPr>
        <w:spacing w:before="0" w:after="0" w:line="408" w:lineRule="exact"/>
        <w:ind w:left="0" w:right="0" w:firstLine="576"/>
        <w:jc w:val="left"/>
      </w:pPr>
      <w:r>
        <w:rPr/>
        <w:t xml:space="preserve">(c) Authority to apply criminal sanctions or other criminal authority using existing state laws as applicable.</w:t>
      </w:r>
    </w:p>
    <w:p>
      <w:pPr>
        <w:spacing w:before="0" w:after="0" w:line="408" w:lineRule="exact"/>
        <w:ind w:left="0" w:right="0" w:firstLine="576"/>
        <w:jc w:val="left"/>
      </w:pPr>
      <w:r>
        <w:rPr/>
        <w:t xml:space="preserve">The department shall prepare and </w:t>
      </w:r>
      <w:r>
        <w:t>((</w:t>
      </w:r>
      <w:r>
        <w:rPr>
          <w:strike/>
        </w:rPr>
        <w:t xml:space="preserve">submit</w:t>
      </w:r>
      <w:r>
        <w:t>))</w:t>
      </w:r>
      <w:r>
        <w:rPr/>
        <w:t xml:space="preserve"> </w:t>
      </w:r>
      <w:r>
        <w:rPr>
          <w:u w:val="single"/>
        </w:rPr>
        <w:t xml:space="preserve">post on the department's website, on</w:t>
      </w:r>
      <w:r>
        <w:rPr/>
        <w:t xml:space="preserve"> a biennial </w:t>
      </w:r>
      <w:r>
        <w:t>((</w:t>
      </w:r>
      <w:r>
        <w:rPr>
          <w:strike/>
        </w:rPr>
        <w:t xml:space="preserve">report to the legislature regarding</w:t>
      </w:r>
      <w:r>
        <w:t>))</w:t>
      </w:r>
      <w:r>
        <w:rPr/>
        <w:t xml:space="preserve"> </w:t>
      </w:r>
      <w:r>
        <w:rPr>
          <w:u w:val="single"/>
        </w:rPr>
        <w:t xml:space="preserve">basis,</w:t>
      </w:r>
      <w:r>
        <w:rPr/>
        <w:t xml:space="preserve"> the program's status, its costs, and the number of persons certified by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620</w:t>
      </w:r>
      <w:r>
        <w:rPr/>
        <w:t xml:space="preserve"> and 1999 c 324 s 7 are each amended to read as follows:</w:t>
      </w:r>
    </w:p>
    <w:p>
      <w:pPr>
        <w:spacing w:before="0" w:after="0" w:line="408" w:lineRule="exact"/>
        <w:ind w:left="0" w:right="0" w:firstLine="576"/>
        <w:jc w:val="left"/>
      </w:pPr>
      <w:r>
        <w:rPr/>
        <w:t xml:space="preserve">The secretary shall </w:t>
      </w:r>
      <w:r>
        <w:t>((</w:t>
      </w:r>
      <w:r>
        <w:rPr>
          <w:strike/>
        </w:rPr>
        <w:t xml:space="preserve">report</w:t>
      </w:r>
      <w:r>
        <w:t>))</w:t>
      </w:r>
      <w:r>
        <w:rPr/>
        <w:t xml:space="preserve"> annually </w:t>
      </w:r>
      <w:r>
        <w:t>((</w:t>
      </w:r>
      <w:r>
        <w:rPr>
          <w:strike/>
        </w:rPr>
        <w:t xml:space="preserve">to the legislature</w:t>
      </w:r>
      <w:r>
        <w:t>))</w:t>
      </w:r>
      <w:r>
        <w:rPr/>
        <w:t xml:space="preserve"> </w:t>
      </w:r>
      <w:r>
        <w:rPr>
          <w:u w:val="single"/>
        </w:rPr>
        <w:t xml:space="preserve">post on the department's website</w:t>
      </w:r>
      <w:r>
        <w:rPr/>
        <w:t xml:space="preserve"> on the number of offenders considered for an extraordinary medical placement, the number of offenders who were granted such a placement, the number of offenders who were denied such a placement, the length of time between initial consideration and the placement decision for each offender who was granted an extraordinary medical placement, the number of offenders granted an extraordinary medical placement who were later returned to total confinement, and the cost savings realized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090</w:t>
      </w:r>
      <w:r>
        <w:rPr/>
        <w:t xml:space="preserve"> and 2014 c 202 s 111 are each amended to read as follows:</w:t>
      </w:r>
    </w:p>
    <w:p>
      <w:pPr>
        <w:spacing w:before="0" w:after="0" w:line="408" w:lineRule="exact"/>
        <w:ind w:left="0" w:right="0" w:firstLine="576"/>
        <w:jc w:val="left"/>
      </w:pPr>
      <w:r>
        <w:rPr/>
        <w:t xml:space="preserve">(1) If the director finds that there exists an imminent danger of a prohibited level 1 or level 2 species detection that seriously endangers or threatens the environment, economy, human health, or well-being of the state of Washington, the director must ask the governor to order, under RCW 43.06.010(14), emergency measures to prevent or abate the prohibited species. The director's findings must contain an evaluation of the effect of the emergency measures on environmental factors such as fish listed under the endangered species act, economic factors such as public and private access, human health factors such as water quality, or well-being factors such as cultural resources.</w:t>
      </w:r>
    </w:p>
    <w:p>
      <w:pPr>
        <w:spacing w:before="0" w:after="0" w:line="408" w:lineRule="exact"/>
        <w:ind w:left="0" w:right="0" w:firstLine="576"/>
        <w:jc w:val="left"/>
      </w:pPr>
      <w:r>
        <w:rPr/>
        <w:t xml:space="preserve">(2) If an emergency is declared pursuant to RCW 43.06.010(14), the director may consult with the invasive species council to advise the governor on emergency measures necessary under RCW 43.06.010(14) and this section, and make subsequent recommendations to the governor. The invasive species council must involve owners of the affected water body or property, state and local governments, federal agencies, tribes, public health interests, technical service providers, and environmental organizations, as appropriate.</w:t>
      </w:r>
    </w:p>
    <w:p>
      <w:pPr>
        <w:spacing w:before="0" w:after="0" w:line="408" w:lineRule="exact"/>
        <w:ind w:left="0" w:right="0" w:firstLine="576"/>
        <w:jc w:val="left"/>
      </w:pPr>
      <w:r>
        <w:rPr/>
        <w:t xml:space="preserve">(3) Upon the governor's approval of emergency measures, the director may implement these measures to prevent, contain, control, or eradicate invasive species that are the subject of the emergency order, notwithstanding the provisions of chapter 15.58 or 17.21 RCW or any other statute. These measures, after evaluation of all other alternatives, may include the surface and aerial application of pesticides.</w:t>
      </w:r>
    </w:p>
    <w:p>
      <w:pPr>
        <w:spacing w:before="0" w:after="0" w:line="408" w:lineRule="exact"/>
        <w:ind w:left="0" w:right="0" w:firstLine="576"/>
        <w:jc w:val="left"/>
      </w:pPr>
      <w:r>
        <w:rPr/>
        <w:t xml:space="preserve">(4) The director must continually evaluate the effects of the emergency measures and report these to the governor at </w:t>
      </w:r>
      <w:r>
        <w:t>((</w:t>
      </w:r>
      <w:r>
        <w:rPr>
          <w:strike/>
        </w:rPr>
        <w:t xml:space="preserve">intervals of not less than</w:t>
      </w:r>
      <w:r>
        <w:t>))</w:t>
      </w:r>
      <w:r>
        <w:rPr/>
        <w:t xml:space="preserve"> </w:t>
      </w:r>
      <w:r>
        <w:rPr>
          <w:u w:val="single"/>
        </w:rPr>
        <w:t xml:space="preserve">least every</w:t>
      </w:r>
      <w:r>
        <w:rPr/>
        <w:t xml:space="preserve"> ten days</w:t>
      </w:r>
      <w:r>
        <w:rPr>
          <w:u w:val="single"/>
        </w:rPr>
        <w:t xml:space="preserve">, except for those measures taken in response to emergency proclamation 22-02, green crab infestation. The director must report the effects of the emergency measures taken in response to emergency proclamation 22-02, green crab infestation, to the governor at least monthly</w:t>
      </w:r>
      <w:r>
        <w:rPr/>
        <w:t xml:space="preserve">. The director must immediately advise the governor if the director finds that the emergency no longer exists or if certain emergency measures should be discontinued.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220</w:t>
      </w:r>
      <w:r>
        <w:rPr/>
        <w:t xml:space="preserve"> and 2013 c 23 s 61 are each amended to read as follows:</w:t>
      </w:r>
    </w:p>
    <w:p>
      <w:pPr>
        <w:spacing w:before="0" w:after="0" w:line="408" w:lineRule="exact"/>
        <w:ind w:left="0" w:right="0" w:firstLine="576"/>
        <w:jc w:val="left"/>
      </w:pPr>
      <w:r>
        <w:rPr/>
        <w:t xml:space="preserve">(1) The council must convene work groups to develop transfer associate degrees that will satisfy lower division requirements at public four-year institutions of higher education for specific academic majors. Work groups must include representatives from the state board for community and technical colleges and the council of presidents, as well as faculty from two and four-year institutions. Work groups may include representatives from independent four-year institutions.</w:t>
      </w:r>
    </w:p>
    <w:p>
      <w:pPr>
        <w:spacing w:before="0" w:after="0" w:line="408" w:lineRule="exact"/>
        <w:ind w:left="0" w:right="0" w:firstLine="576"/>
        <w:jc w:val="left"/>
      </w:pPr>
      <w:r>
        <w:rPr/>
        <w:t xml:space="preserve">(2) Each transfer associate degree developed under this section must enable a student to complete the lower-division courses or competencies for general education requirements and preparation for the major that a direct-entry student would typically complete in the first-year student and sophomore years for that academic major.</w:t>
      </w:r>
    </w:p>
    <w:p>
      <w:pPr>
        <w:spacing w:before="0" w:after="0" w:line="408" w:lineRule="exact"/>
        <w:ind w:left="0" w:right="0" w:firstLine="576"/>
        <w:jc w:val="left"/>
      </w:pPr>
      <w:r>
        <w:rPr/>
        <w:t xml:space="preserve">(3) Completion of a transfer associate degree does not guarantee a student admission into an institution of higher education or admission into a major, minor, or professional program at an institution of higher education that has competitive admission standards for the program based on grade point average or other performance criteria.</w:t>
      </w:r>
    </w:p>
    <w:p>
      <w:pPr>
        <w:spacing w:before="0" w:after="0" w:line="408" w:lineRule="exact"/>
        <w:ind w:left="0" w:right="0" w:firstLine="576"/>
        <w:jc w:val="left"/>
      </w:pPr>
      <w:r>
        <w:rPr/>
        <w:t xml:space="preserve">(4) During the 2004-05 academic year, the work groups must develop transfer degrees for elementary education, engineering, and nursing. As necessary based on demand or identified need, the council must convene additional groups to identify and develop additional transfer degrees. The council must give priority to majors in high demand by transfer students and majors that the general direct transfer agreement associate degree does not adequately prepare students to enter automatically upon transfer.</w:t>
      </w:r>
    </w:p>
    <w:p>
      <w:pPr>
        <w:spacing w:before="0" w:after="0" w:line="408" w:lineRule="exact"/>
        <w:ind w:left="0" w:right="0" w:firstLine="576"/>
        <w:jc w:val="left"/>
      </w:pPr>
      <w:r>
        <w:rPr/>
        <w:t xml:space="preserve">(5) The council, in collaboration with the intercollege relations commission, must collect and maintain lists of courses offered by each community and technical college and public four-year institution of higher education that fall within each transfer associate degree.</w:t>
      </w:r>
    </w:p>
    <w:p>
      <w:pPr>
        <w:spacing w:before="0" w:after="0" w:line="408" w:lineRule="exact"/>
        <w:ind w:left="0" w:right="0" w:firstLine="576"/>
        <w:jc w:val="left"/>
      </w:pPr>
      <w:r>
        <w:rPr/>
        <w:t xml:space="preserve">(6) The council must monitor implementation of transfer associate degrees by public four-year institutions to ensure compliance with subsection (2) of this section.</w:t>
      </w:r>
    </w:p>
    <w:p>
      <w:pPr>
        <w:spacing w:before="0" w:after="0" w:line="408" w:lineRule="exact"/>
        <w:ind w:left="0" w:right="0" w:firstLine="576"/>
        <w:jc w:val="left"/>
      </w:pPr>
      <w:r>
        <w:t>((</w:t>
      </w:r>
      <w:r>
        <w:rPr>
          <w:strike/>
        </w:rPr>
        <w:t xml:space="preserve">(7) Beginning January 10, 2005, the council must submit a progress report on the development of transfer associate degrees to the higher education committees of the house of representatives and the senate. The first progress report must include measurable benchmark indicators to monitor the effectiveness of the initiatives in improving transfer and baseline data for those indicators before the implementation of the initiatives. Subsequent reports must be submitted by January 10th of each odd-numbered year and must monitor progress on the indicators, describe development of additional transfer associate degrees, and provide other data on improvements in transfer efficiency.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90</w:t>
      </w:r>
      <w:r>
        <w:rPr/>
        <w:t xml:space="preserve">.</w:t>
      </w:r>
      <w:r>
        <w:t xml:space="preserve">020</w:t>
      </w:r>
      <w:r>
        <w:rPr/>
        <w:t xml:space="preserve"> and 2020 c 139 s 59 are each amended to read as follows:</w:t>
      </w:r>
    </w:p>
    <w:p>
      <w:pPr>
        <w:spacing w:before="0" w:after="0" w:line="408" w:lineRule="exact"/>
        <w:ind w:left="0" w:right="0" w:firstLine="576"/>
        <w:jc w:val="left"/>
      </w:pP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(1)(a)(iii)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sixty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until the department has partnered with all cities that currently impose a general business license requirement and that have not declined to partner with the department under subsection (7) of this section, the department must submit the partnering plan required in (a) of this subsection (4) to the governor; legislative fiscal committees; house local government committee; senate financial institutions, economic development and trade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(7)(a) Except as provided in (b) of this subsection, a city may decline to partner with the department for the issuance and renewal of a general business license as provided in subsection (1) of this section if the city participates in the online local business license and tax filing portal known as "FileLocal" as of July 1, 2020.</w:t>
      </w:r>
    </w:p>
    <w:p>
      <w:pPr>
        <w:spacing w:before="0" w:after="0" w:line="408" w:lineRule="exact"/>
        <w:ind w:left="0" w:right="0" w:firstLine="576"/>
        <w:jc w:val="left"/>
      </w:pPr>
      <w:r>
        <w:rPr/>
        <w:t xml:space="preserve">(b) A city that receives at least one million nine hundred fifty thousand dollars in fiscal year 2020 for temporary streamlined sales tax mitigation under the 2019 omnibus appropriations act, section 722, chapter 415, Laws of 2019, may decline to partner with the department for the issuance and renewal of a general business license as provided in subsection (1) of this section if the city participates in FileLocal as of July 1, 2021.</w:t>
      </w:r>
    </w:p>
    <w:p>
      <w:pPr>
        <w:spacing w:before="0" w:after="0" w:line="408" w:lineRule="exact"/>
        <w:ind w:left="0" w:right="0" w:firstLine="576"/>
        <w:jc w:val="left"/>
      </w:pPr>
      <w:r>
        <w:rPr/>
        <w:t xml:space="preserve">(c)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or July 1, 2021, in the case of a city eligible for the extension under (b) of this subsection, must partner with the department for the issuance and renewal of its general business license as provided in subsection (1) of this section.</w:t>
      </w:r>
    </w:p>
    <w:p>
      <w:pPr>
        <w:spacing w:before="0" w:after="0" w:line="408" w:lineRule="exact"/>
        <w:ind w:left="0" w:right="0" w:firstLine="576"/>
        <w:jc w:val="left"/>
      </w:pPr>
      <w:r>
        <w:t>((</w:t>
      </w:r>
      <w:r>
        <w:rPr>
          <w:strike/>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strike/>
        </w:rPr>
        <w:t xml:space="preserve">(a) A list of cities that have partnered with the department as required in subsection (1) of this section;</w:t>
      </w:r>
    </w:p>
    <w:p>
      <w:pPr>
        <w:spacing w:before="0" w:after="0" w:line="408" w:lineRule="exact"/>
        <w:ind w:left="0" w:right="0" w:firstLine="576"/>
        <w:jc w:val="left"/>
      </w:pPr>
      <w:r>
        <w:rPr>
          <w:strike/>
        </w:rPr>
        <w:t xml:space="preserve">(b) A list of cities that have not partnered with the department;</w:t>
      </w:r>
    </w:p>
    <w:p>
      <w:pPr>
        <w:spacing w:before="0" w:after="0" w:line="408" w:lineRule="exact"/>
        <w:ind w:left="0" w:right="0" w:firstLine="576"/>
        <w:jc w:val="left"/>
      </w:pPr>
      <w:r>
        <w:rPr>
          <w:strike/>
        </w:rPr>
        <w:t xml:space="preserve">(c) A list of cities that are scheduled to partner with the department during the upcoming calendar year;</w:t>
      </w:r>
    </w:p>
    <w:p>
      <w:pPr>
        <w:spacing w:before="0" w:after="0" w:line="408" w:lineRule="exact"/>
        <w:ind w:left="0" w:right="0" w:firstLine="576"/>
        <w:jc w:val="left"/>
      </w:pPr>
      <w:r>
        <w:rPr>
          <w:strike/>
        </w:rPr>
        <w:t xml:space="preserve">(d) A list of cities that have declined to partner with the department as provided in subsection (7) of this section;</w:t>
      </w:r>
    </w:p>
    <w:p>
      <w:pPr>
        <w:spacing w:before="0" w:after="0" w:line="408" w:lineRule="exact"/>
        <w:ind w:left="0" w:right="0" w:firstLine="576"/>
        <w:jc w:val="left"/>
      </w:pPr>
      <w:r>
        <w:rPr>
          <w:strike/>
        </w:rPr>
        <w:t xml:space="preserve">(e) An explanation of lessons learned and any process efficiencies incorporated by the department;</w:t>
      </w:r>
    </w:p>
    <w:p>
      <w:pPr>
        <w:spacing w:before="0" w:after="0" w:line="408" w:lineRule="exact"/>
        <w:ind w:left="0" w:right="0" w:firstLine="576"/>
        <w:jc w:val="left"/>
      </w:pPr>
      <w:r>
        <w:rPr>
          <w:strike/>
        </w:rPr>
        <w:t xml:space="preserve">(f) Any recommendations to further simplify the issuance and renewal of general business licenses by the department; and</w:t>
      </w:r>
    </w:p>
    <w:p>
      <w:pPr>
        <w:spacing w:before="0" w:after="0" w:line="408" w:lineRule="exact"/>
        <w:ind w:left="0" w:right="0" w:firstLine="576"/>
        <w:jc w:val="left"/>
      </w:pPr>
      <w:r>
        <w:rPr>
          <w:strike/>
        </w:rPr>
        <w:t xml:space="preserve">(g) Any other information the department considers relevant.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150</w:t>
      </w:r>
      <w:r>
        <w:rPr/>
        <w:t xml:space="preserve"> and 2017 c 47 s 2 are each amended to read as follows:</w:t>
      </w:r>
    </w:p>
    <w:p>
      <w:pPr>
        <w:spacing w:before="0" w:after="0" w:line="408" w:lineRule="exact"/>
        <w:ind w:left="0" w:right="0" w:firstLine="576"/>
        <w:jc w:val="left"/>
      </w:pPr>
      <w:r>
        <w:t>((</w:t>
      </w:r>
      <w:r>
        <w:rPr>
          <w:strike/>
        </w:rPr>
        <w:t xml:space="preserve">(1)</w:t>
      </w:r>
      <w:r>
        <w:t>))</w:t>
      </w:r>
      <w:r>
        <w:rPr/>
        <w:t xml:space="preserve"> The director, whenever it is lawful and feasible to do so, shall consult and cooperate with the federal government, as well as with other states and Canadian provinces, in the study and control of environmental problems. On behalf of the department, the director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t>((</w:t>
      </w:r>
      <w:r>
        <w:rPr>
          <w:strike/>
        </w:rPr>
        <w:t xml:space="preserve">(2)(a) Beginning December 31, 2017, the director must list on the department's website information regarding the current interagency agreements to which the department is a party or in which the department is a participant.</w:t>
      </w:r>
    </w:p>
    <w:p>
      <w:pPr>
        <w:spacing w:before="0" w:after="0" w:line="408" w:lineRule="exact"/>
        <w:ind w:left="0" w:right="0" w:firstLine="576"/>
        <w:jc w:val="left"/>
      </w:pPr>
      <w:r>
        <w:rPr>
          <w:strike/>
        </w:rPr>
        <w:t xml:space="preserve">(b) The list must identify each agreement, the type of agreement, parties to the agreement, the effective date of the agreement, and a brief description of the agreement. The list must include all interagency agreements involving the department and other state agencies, local governments, special purpose districts, the federal government and federal government agencies, and the agencies of other states.</w:t>
      </w:r>
    </w:p>
    <w:p>
      <w:pPr>
        <w:spacing w:before="0" w:after="0" w:line="408" w:lineRule="exact"/>
        <w:ind w:left="0" w:right="0" w:firstLine="576"/>
        <w:jc w:val="left"/>
      </w:pPr>
      <w:r>
        <w:rPr>
          <w:strike/>
        </w:rPr>
        <w:t xml:space="preserve">(c) For the initial list, the department must by December 31, 2017, list all grant agreements and federal agreements where information is readily extractable from the department's data systems. For those data systems that, because of their age, require programming support to extract and format data for publishing to the internet, the department must complete listing the required information according to the following schedule:</w:t>
      </w:r>
    </w:p>
    <w:p>
      <w:pPr>
        <w:spacing w:before="0" w:after="0" w:line="408" w:lineRule="exact"/>
        <w:ind w:left="0" w:right="0" w:firstLine="576"/>
        <w:jc w:val="left"/>
      </w:pPr>
      <w:r>
        <w:rPr>
          <w:strike/>
        </w:rPr>
        <w:t xml:space="preserve">(i) By June 30, 2018, all contract, loan, and grant agreements;</w:t>
      </w:r>
    </w:p>
    <w:p>
      <w:pPr>
        <w:spacing w:before="0" w:after="0" w:line="408" w:lineRule="exact"/>
        <w:ind w:left="0" w:right="0" w:firstLine="576"/>
        <w:jc w:val="left"/>
      </w:pPr>
      <w:r>
        <w:rPr>
          <w:strike/>
        </w:rPr>
        <w:t xml:space="preserve">(ii) By December 31, 2018, all agreements pertaining to funds receivable for work performed by the department, leases, and nonfinancial interagency agreements.</w:t>
      </w:r>
    </w:p>
    <w:p>
      <w:pPr>
        <w:spacing w:before="0" w:after="0" w:line="408" w:lineRule="exact"/>
        <w:ind w:left="0" w:right="0" w:firstLine="576"/>
        <w:jc w:val="left"/>
      </w:pPr>
      <w:r>
        <w:rPr>
          <w:strike/>
        </w:rPr>
        <w:t xml:space="preserve">(d) Beginning December 1, 2018, the department must annually update the website to include new interagency agreements that the department has entered into and must identify the agreements that have been updated within the past year.</w:t>
      </w:r>
    </w:p>
    <w:p>
      <w:pPr>
        <w:spacing w:before="0" w:after="0" w:line="408" w:lineRule="exact"/>
        <w:ind w:left="0" w:right="0" w:firstLine="576"/>
        <w:jc w:val="left"/>
      </w:pPr>
      <w:r>
        <w:rPr>
          <w:strike/>
        </w:rPr>
        <w:t xml:space="preserve">(e) For the purposes of this section, the term "interagency agreement" includes but is not limited to memoranda of understanding, grant contracts, and advisory or nonbinding agreements.</w:t>
      </w:r>
    </w:p>
    <w:p>
      <w:pPr>
        <w:spacing w:before="0" w:after="0" w:line="408" w:lineRule="exact"/>
        <w:ind w:left="0" w:right="0" w:firstLine="576"/>
        <w:jc w:val="left"/>
      </w:pPr>
      <w:r>
        <w:rPr>
          <w:strike/>
        </w:rPr>
        <w:t xml:space="preserve">(f) For purposes of this section, the information posted on the department's website is considered to function as a report to the legislature because the report acts as a mechanism of keeping the legislature apprised of the department's interagency agreements.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240</w:t>
      </w:r>
      <w:r>
        <w:rPr/>
        <w:t xml:space="preserve"> and 2020 c 56 s 2 are each amended to read as follows:</w:t>
      </w:r>
    </w:p>
    <w:p>
      <w:pPr>
        <w:spacing w:before="0" w:after="0" w:line="408" w:lineRule="exact"/>
        <w:ind w:left="0" w:right="0" w:firstLine="576"/>
        <w:jc w:val="left"/>
      </w:pPr>
      <w:r>
        <w:rPr/>
        <w:t xml:space="preserve">(1) The position of lesbian, gay, bisexual, transgender, and queer coordinator is created within the department.</w:t>
      </w:r>
    </w:p>
    <w:p>
      <w:pPr>
        <w:spacing w:before="0" w:after="0" w:line="408" w:lineRule="exact"/>
        <w:ind w:left="0" w:right="0" w:firstLine="576"/>
        <w:jc w:val="left"/>
      </w:pPr>
      <w:r>
        <w:rPr/>
        <w:t xml:space="preserve">(2) The duties of the lesbian, gay, bisexual, transgender, and queer coordinator include, but are not limited to:</w:t>
      </w:r>
    </w:p>
    <w:p>
      <w:pPr>
        <w:spacing w:before="0" w:after="0" w:line="408" w:lineRule="exact"/>
        <w:ind w:left="0" w:right="0" w:firstLine="576"/>
        <w:jc w:val="left"/>
      </w:pPr>
      <w:r>
        <w:rPr/>
        <w:t xml:space="preserve">(a) Conducting outreach to, and providing assistance designed for the unique needs of, veterans who are lesbian, gay, bisexual, transgender, and queer, and to the spouses and dependents of such veterans;</w:t>
      </w:r>
    </w:p>
    <w:p>
      <w:pPr>
        <w:spacing w:before="0" w:after="0" w:line="408" w:lineRule="exact"/>
        <w:ind w:left="0" w:right="0" w:firstLine="576"/>
        <w:jc w:val="left"/>
      </w:pPr>
      <w:r>
        <w:rPr/>
        <w:t xml:space="preserve">(b) Providing assistance to veterans who are lesbian, gay, bisexual, transgender, and queer in applying for an upgrade to the character of a discharge from service or a change in the narrative reason for a discharge from service;</w:t>
      </w:r>
    </w:p>
    <w:p>
      <w:pPr>
        <w:spacing w:before="0" w:after="0" w:line="408" w:lineRule="exact"/>
        <w:ind w:left="0" w:right="0" w:firstLine="576"/>
        <w:jc w:val="left"/>
      </w:pPr>
      <w:r>
        <w:rPr/>
        <w:t xml:space="preserve">(c) Providing assistance in applying for and obtaining veterans' benefits and benefits available through other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rPr/>
        <w:t xml:space="preserve">(d) Providing assistance to veterans who are lesbian, gay, bisexual, transgender, and queer in applying for, and in appealing any denial of, federal and state veterans' benefits and aid that such veterans, and the spouses and dependents of such veterans, may be entitled to; and</w:t>
      </w:r>
    </w:p>
    <w:p>
      <w:pPr>
        <w:spacing w:before="0" w:after="0" w:line="408" w:lineRule="exact"/>
        <w:ind w:left="0" w:right="0" w:firstLine="576"/>
        <w:jc w:val="left"/>
      </w:pPr>
      <w:r>
        <w:rPr/>
        <w:t xml:space="preserve">(e) Developing and distributing informational materials to veterans who are lesbian, gay, bisexual, transgender, and queer, and to the spouses and dependents of such veterans, regarding veterans' benefits and other benefit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t>((</w:t>
      </w:r>
      <w:r>
        <w:rPr>
          <w:strike/>
        </w:rPr>
        <w:t xml:space="preserve">(3) No later than December 15, 2021, the department must prepare and submit a report to the governor, the joint committee on veterans' and military affairs, and the appropriate standing committees of the legislature regarding the implementation and status of the position of lesbian, gay, bisexual, transgender, and queer coordinator created under subsection (1) of this section. The report must include, at a minimum, information regarding the following:</w:t>
      </w:r>
    </w:p>
    <w:p>
      <w:pPr>
        <w:spacing w:before="0" w:after="0" w:line="408" w:lineRule="exact"/>
        <w:ind w:left="0" w:right="0" w:firstLine="576"/>
        <w:jc w:val="left"/>
      </w:pPr>
      <w:r>
        <w:rPr>
          <w:strike/>
        </w:rPr>
        <w:t xml:space="preserve">(a) The number of veterans served;</w:t>
      </w:r>
    </w:p>
    <w:p>
      <w:pPr>
        <w:spacing w:before="0" w:after="0" w:line="408" w:lineRule="exact"/>
        <w:ind w:left="0" w:right="0" w:firstLine="576"/>
        <w:jc w:val="left"/>
      </w:pPr>
      <w:r>
        <w:rPr>
          <w:strike/>
        </w:rPr>
        <w:t xml:space="preserve">(b) The type of assistance provided;</w:t>
      </w:r>
    </w:p>
    <w:p>
      <w:pPr>
        <w:spacing w:before="0" w:after="0" w:line="408" w:lineRule="exact"/>
        <w:ind w:left="0" w:right="0" w:firstLine="576"/>
        <w:jc w:val="left"/>
      </w:pPr>
      <w:r>
        <w:rPr>
          <w:strike/>
        </w:rPr>
        <w:t xml:space="preserve">(c) Recommendations for the improvement and expansion of the services provided by the coordinator; and</w:t>
      </w:r>
    </w:p>
    <w:p>
      <w:pPr>
        <w:spacing w:before="0" w:after="0" w:line="408" w:lineRule="exact"/>
        <w:ind w:left="0" w:right="0" w:firstLine="576"/>
        <w:jc w:val="left"/>
      </w:pPr>
      <w:r>
        <w:rPr>
          <w:strike/>
        </w:rPr>
        <w:t xml:space="preserve">(d) Recommendations for legislative changes.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61</w:t>
      </w:r>
      <w:r>
        <w:rPr/>
        <w:t xml:space="preserve">.</w:t>
      </w:r>
      <w:r>
        <w:t xml:space="preserve">040</w:t>
      </w:r>
      <w:r>
        <w:rPr/>
        <w:t xml:space="preserve"> and 1977 c 75 s 60 are each amended to read as follows:</w:t>
      </w:r>
    </w:p>
    <w:p>
      <w:pPr>
        <w:spacing w:before="0" w:after="0" w:line="408" w:lineRule="exact"/>
        <w:ind w:left="0" w:right="0" w:firstLine="576"/>
        <w:jc w:val="left"/>
      </w:pPr>
      <w:r>
        <w:rPr/>
        <w:t xml:space="preserve">The director of veterans affairs shall make such rules and regulations as may be necessary to carry out the purposes of this chapter. The department shall furnish information, advice, and assistance to veterans and coordinate all programs and services in the field of veterans' claims service, education, health, vocational guidance and placement, and services not provided by some other agency of the state or by the federal government. </w:t>
      </w:r>
      <w:r>
        <w:t>((</w:t>
      </w:r>
      <w:r>
        <w:rPr>
          <w:strike/>
        </w:rPr>
        <w:t xml:space="preserve">The director shall submit a report of the departments' activities hereunder each year to the governor.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068</w:t>
      </w:r>
      <w:r>
        <w:rPr/>
        <w:t xml:space="preserve"> and 2018 c 58 s 3 are each amended to read as follows:</w:t>
      </w:r>
    </w:p>
    <w:p>
      <w:pPr>
        <w:spacing w:before="0" w:after="0" w:line="408" w:lineRule="exact"/>
        <w:ind w:left="0" w:right="0" w:firstLine="576"/>
        <w:jc w:val="left"/>
      </w:pPr>
      <w:r>
        <w:rPr/>
        <w:t xml:space="preserve">(1)(a) The department of commerce shall establish an advisory committee to monitor, guide, and report on recommendations relating to policies and programs for children and families with incarcerated parents.</w:t>
      </w:r>
    </w:p>
    <w:p>
      <w:pPr>
        <w:spacing w:before="0" w:after="0" w:line="408" w:lineRule="exact"/>
        <w:ind w:left="0" w:right="0" w:firstLine="576"/>
        <w:jc w:val="left"/>
      </w:pPr>
      <w:r>
        <w:rPr/>
        <w:t xml:space="preserve">(b) The advisory committee shall include representatives of the department of corrections, the department of social and health services, the department of children, youth, and families, the office of the superintendent of public instruction, representatives of the private nonprofit and business sectors, child advocates, representatives of Washington state Indian tribes as defined under the federal Indian welfare act (25 U.S.C. Sec. 1901 et seq.), court administrators, the administrative office of the courts, the Washington association of sheriffs and police chiefs, jail administrators, the office of the governor, and others who have an interest in these issues.</w:t>
      </w:r>
    </w:p>
    <w:p>
      <w:pPr>
        <w:spacing w:before="0" w:after="0" w:line="408" w:lineRule="exact"/>
        <w:ind w:left="0" w:right="0" w:firstLine="576"/>
        <w:jc w:val="left"/>
      </w:pPr>
      <w:r>
        <w:rPr/>
        <w:t xml:space="preserve">(c) The advisory committee shall:</w:t>
      </w:r>
    </w:p>
    <w:p>
      <w:pPr>
        <w:spacing w:before="0" w:after="0" w:line="408" w:lineRule="exact"/>
        <w:ind w:left="0" w:right="0" w:firstLine="576"/>
        <w:jc w:val="left"/>
      </w:pPr>
      <w:r>
        <w:rPr/>
        <w:t xml:space="preserve">(i) Gather the data collected by the departments as required in RCW 72.09.495, 74.04.800, 43.216.060, and 28A.300.520;</w:t>
      </w:r>
    </w:p>
    <w:p>
      <w:pPr>
        <w:spacing w:before="0" w:after="0" w:line="408" w:lineRule="exact"/>
        <w:ind w:left="0" w:right="0" w:firstLine="576"/>
        <w:jc w:val="left"/>
      </w:pPr>
      <w:r>
        <w:rPr/>
        <w:t xml:space="preserve">(ii) Monitor and provide consultation on the implementation of recommendations contained in the 2006 children of incarcerated parents report;</w:t>
      </w:r>
    </w:p>
    <w:p>
      <w:pPr>
        <w:spacing w:before="0" w:after="0" w:line="408" w:lineRule="exact"/>
        <w:ind w:left="0" w:right="0" w:firstLine="576"/>
        <w:jc w:val="left"/>
      </w:pPr>
      <w:r>
        <w:rPr/>
        <w:t xml:space="preserve">(iii) Identify areas of need and develop recommendations for the legislature, the department of social and health services, the department of corrections, the department of children, youth, and families, and the office of the superintendent of public instruction to better meet the needs of children and families of persons incarcerated in department of corrections facilities; and</w:t>
      </w:r>
    </w:p>
    <w:p>
      <w:pPr>
        <w:spacing w:before="0" w:after="0" w:line="408" w:lineRule="exact"/>
        <w:ind w:left="0" w:right="0" w:firstLine="576"/>
        <w:jc w:val="left"/>
      </w:pPr>
      <w:r>
        <w:rPr/>
        <w:t xml:space="preserve">(iv) Advise the department of commerce regarding community programs the department should fund with moneys appropriated for this purpose in the operating budget. The advisory committee shall provide recommendations to the department regarding the following:</w:t>
      </w:r>
    </w:p>
    <w:p>
      <w:pPr>
        <w:spacing w:before="0" w:after="0" w:line="408" w:lineRule="exact"/>
        <w:ind w:left="0" w:right="0" w:firstLine="576"/>
        <w:jc w:val="left"/>
      </w:pPr>
      <w:r>
        <w:rPr/>
        <w:t xml:space="preserve">(A) The goals for geographic distribution of programs and funding;</w:t>
      </w:r>
    </w:p>
    <w:p>
      <w:pPr>
        <w:spacing w:before="0" w:after="0" w:line="408" w:lineRule="exact"/>
        <w:ind w:left="0" w:right="0" w:firstLine="576"/>
        <w:jc w:val="left"/>
      </w:pPr>
      <w:r>
        <w:rPr/>
        <w:t xml:space="preserve">(B) The scope and purpose of eligible services and the priority of such services;</w:t>
      </w:r>
    </w:p>
    <w:p>
      <w:pPr>
        <w:spacing w:before="0" w:after="0" w:line="408" w:lineRule="exact"/>
        <w:ind w:left="0" w:right="0" w:firstLine="576"/>
        <w:jc w:val="left"/>
      </w:pPr>
      <w:r>
        <w:rPr/>
        <w:t xml:space="preserve">(C) Grant award funding limits;</w:t>
      </w:r>
    </w:p>
    <w:p>
      <w:pPr>
        <w:spacing w:before="0" w:after="0" w:line="408" w:lineRule="exact"/>
        <w:ind w:left="0" w:right="0" w:firstLine="576"/>
        <w:jc w:val="left"/>
      </w:pPr>
      <w:r>
        <w:rPr/>
        <w:t xml:space="preserve">(D) Entities eligible to apply for the funding;</w:t>
      </w:r>
    </w:p>
    <w:p>
      <w:pPr>
        <w:spacing w:before="0" w:after="0" w:line="408" w:lineRule="exact"/>
        <w:ind w:left="0" w:right="0" w:firstLine="576"/>
        <w:jc w:val="left"/>
      </w:pPr>
      <w:r>
        <w:rPr/>
        <w:t xml:space="preserve">(E) Whether the funding should be directed towards starting or supporting new programs, expanding existing programs, or whether the funding should be open to all eligible services and providers; and</w:t>
      </w:r>
    </w:p>
    <w:p>
      <w:pPr>
        <w:spacing w:before="0" w:after="0" w:line="408" w:lineRule="exact"/>
        <w:ind w:left="0" w:right="0" w:firstLine="576"/>
        <w:jc w:val="left"/>
      </w:pPr>
      <w:r>
        <w:rPr/>
        <w:t xml:space="preserve">(F) Other areas the advisory committee determines appropriate.</w:t>
      </w:r>
    </w:p>
    <w:p>
      <w:pPr>
        <w:spacing w:before="0" w:after="0" w:line="408" w:lineRule="exact"/>
        <w:ind w:left="0" w:right="0" w:firstLine="576"/>
        <w:jc w:val="left"/>
      </w:pPr>
      <w:r>
        <w:t>((</w:t>
      </w:r>
      <w:r>
        <w:rPr>
          <w:strike/>
        </w:rPr>
        <w:t xml:space="preserve">(d) The children of incarcerated parents advisory committee shall update the legislature and governor biennially on committee activities, with the first update due by January 1, 2010.</w:t>
      </w:r>
      <w:r>
        <w:t>))</w:t>
      </w:r>
    </w:p>
    <w:p>
      <w:pPr>
        <w:spacing w:before="0" w:after="0" w:line="408" w:lineRule="exact"/>
        <w:ind w:left="0" w:right="0" w:firstLine="576"/>
        <w:jc w:val="left"/>
      </w:pPr>
      <w:r>
        <w:rPr/>
        <w:t xml:space="preserve">(2) The department of commerce shall select community programs or services to receive funding that focus on children and families of inmates incarcerated in a department of corrections facility and sustaining the family during the period of the inmate's incarceration.</w:t>
      </w:r>
    </w:p>
    <w:p>
      <w:pPr>
        <w:spacing w:before="0" w:after="0" w:line="408" w:lineRule="exact"/>
        <w:ind w:left="0" w:right="0" w:firstLine="576"/>
        <w:jc w:val="left"/>
      </w:pPr>
      <w:r>
        <w:rPr/>
        <w:t xml:space="preserve">(a) Programs or services which meet the needs of the children of incarcerated parents should be the greatest consideration in the programs that are identified by the department.</w:t>
      </w:r>
    </w:p>
    <w:p>
      <w:pPr>
        <w:spacing w:before="0" w:after="0" w:line="408" w:lineRule="exact"/>
        <w:ind w:left="0" w:right="0" w:firstLine="576"/>
        <w:jc w:val="left"/>
      </w:pPr>
      <w:r>
        <w:rPr/>
        <w:t xml:space="preserve">(b) The department shall consider the recommendations of the advisory committee regarding which services or programs the department should fund.</w:t>
      </w:r>
    </w:p>
    <w:p>
      <w:pPr>
        <w:spacing w:before="0" w:after="0" w:line="408" w:lineRule="exact"/>
        <w:ind w:left="0" w:right="0" w:firstLine="576"/>
        <w:jc w:val="left"/>
      </w:pPr>
      <w:r>
        <w:rPr/>
        <w:t xml:space="preserve">(c) The programs selected shall collaborate with an agency, or agencies, experienced in providing services to aid families and victims of sexual assault and domestic violence to ensure that the programs identify families who have a history of sexual assault or domestic violence and ensure the services provided are appropriate for the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t>((</w:t>
      </w:r>
      <w:r>
        <w:rPr>
          <w:strike/>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330</w:t>
      </w:r>
      <w:r>
        <w:rPr/>
        <w:t xml:space="preserve"> and 2005 c 318 s 2 are each amended to read as follows:</w:t>
      </w:r>
    </w:p>
    <w:p>
      <w:pPr>
        <w:spacing w:before="0" w:after="0" w:line="408" w:lineRule="exact"/>
        <w:ind w:left="0" w:right="0" w:firstLine="576"/>
        <w:jc w:val="left"/>
      </w:pPr>
      <w:r>
        <w:rPr/>
        <w:t xml:space="preserve">(1) The secretary shall establish an office of transit mobility. The purpose of the office is to facilitate the integration of decentralized public transportation services with the state transportation system. The goals of the office of transit mobility are: (a) To facilitate connection and coordination of transit services and planning; and (b) maximizing opportunities to use public transportation to improve the efficiency of transportation corridors.</w:t>
      </w:r>
    </w:p>
    <w:p>
      <w:pPr>
        <w:spacing w:before="0" w:after="0" w:line="408" w:lineRule="exact"/>
        <w:ind w:left="0" w:right="0" w:firstLine="576"/>
        <w:jc w:val="left"/>
      </w:pPr>
      <w:r>
        <w:rPr/>
        <w:t xml:space="preserve">(2) The duties of the office include, but are not limited to, the following:</w:t>
      </w:r>
    </w:p>
    <w:p>
      <w:pPr>
        <w:spacing w:before="0" w:after="0" w:line="408" w:lineRule="exact"/>
        <w:ind w:left="0" w:right="0" w:firstLine="576"/>
        <w:jc w:val="left"/>
      </w:pPr>
      <w:r>
        <w:rPr/>
        <w:t xml:space="preserve">(a) Developing a statewide strategic plan that creates common goals for transit agencies and reduces competing plans for cross-jurisdictional service;</w:t>
      </w:r>
    </w:p>
    <w:p>
      <w:pPr>
        <w:spacing w:before="0" w:after="0" w:line="408" w:lineRule="exact"/>
        <w:ind w:left="0" w:right="0" w:firstLine="576"/>
        <w:jc w:val="left"/>
      </w:pPr>
      <w:r>
        <w:rPr/>
        <w:t xml:space="preserve">(b) Developing a park and ride lot program;</w:t>
      </w:r>
    </w:p>
    <w:p>
      <w:pPr>
        <w:spacing w:before="0" w:after="0" w:line="408" w:lineRule="exact"/>
        <w:ind w:left="0" w:right="0" w:firstLine="576"/>
        <w:jc w:val="left"/>
      </w:pPr>
      <w:r>
        <w:rPr/>
        <w:t xml:space="preserve">(c) Encouraging long-range transit planning;</w:t>
      </w:r>
    </w:p>
    <w:p>
      <w:pPr>
        <w:spacing w:before="0" w:after="0" w:line="408" w:lineRule="exact"/>
        <w:ind w:left="0" w:right="0" w:firstLine="576"/>
        <w:jc w:val="left"/>
      </w:pPr>
      <w:r>
        <w:rPr/>
        <w:t xml:space="preserve">(d) Providing public transportation expertise to improve linkages between regional transportation planning organizations and transit agencies;</w:t>
      </w:r>
    </w:p>
    <w:p>
      <w:pPr>
        <w:spacing w:before="0" w:after="0" w:line="408" w:lineRule="exact"/>
        <w:ind w:left="0" w:right="0" w:firstLine="576"/>
        <w:jc w:val="left"/>
      </w:pPr>
      <w:r>
        <w:rPr/>
        <w:t xml:space="preserve">(e) Strengthening policies for inclusion of transit and transportation demand management strategies in route development, corridor plan standards, and budget proposals;</w:t>
      </w:r>
    </w:p>
    <w:p>
      <w:pPr>
        <w:spacing w:before="0" w:after="0" w:line="408" w:lineRule="exact"/>
        <w:ind w:left="0" w:right="0" w:firstLine="576"/>
        <w:jc w:val="left"/>
      </w:pPr>
      <w:r>
        <w:rPr/>
        <w:t xml:space="preserve">(f) Recommending best practices to integrate transit and demand management strategies with regional and local land use plans in order to reduce traffic and improve mobility and access;</w:t>
      </w:r>
    </w:p>
    <w:p>
      <w:pPr>
        <w:spacing w:before="0" w:after="0" w:line="408" w:lineRule="exact"/>
        <w:ind w:left="0" w:right="0" w:firstLine="576"/>
        <w:jc w:val="left"/>
      </w:pPr>
      <w:r>
        <w:rPr/>
        <w:t xml:space="preserve">(g) Producing recommendations for the public transportation section of the Washington transportation plan; and</w:t>
      </w:r>
    </w:p>
    <w:p>
      <w:pPr>
        <w:spacing w:before="0" w:after="0" w:line="408" w:lineRule="exact"/>
        <w:ind w:left="0" w:right="0" w:firstLine="576"/>
        <w:jc w:val="left"/>
      </w:pPr>
      <w:r>
        <w:rPr/>
        <w:t xml:space="preserve">(h) Participating in all aspects of corridor planning, including freight planning, ferry system planning, and passenger rail planning.</w:t>
      </w:r>
    </w:p>
    <w:p>
      <w:pPr>
        <w:spacing w:before="0" w:after="0" w:line="408" w:lineRule="exact"/>
        <w:ind w:left="0" w:right="0" w:firstLine="576"/>
        <w:jc w:val="left"/>
      </w:pPr>
      <w:r>
        <w:rPr/>
        <w:t xml:space="preserve">(3) In forming the office, the secretary shall use existing resources to the greatest extent possible.</w:t>
      </w:r>
    </w:p>
    <w:p>
      <w:pPr>
        <w:spacing w:before="0" w:after="0" w:line="408" w:lineRule="exact"/>
        <w:ind w:left="0" w:right="0" w:firstLine="576"/>
        <w:jc w:val="left"/>
      </w:pPr>
      <w:r>
        <w:rPr/>
        <w:t xml:space="preserve">(4) The office of transit mobility shall establish measurable performance objectives for evaluating the success of its initiatives and progress toward accomplishing the overall goals of the office.</w:t>
      </w:r>
    </w:p>
    <w:p>
      <w:pPr>
        <w:spacing w:before="0" w:after="0" w:line="408" w:lineRule="exact"/>
        <w:ind w:left="0" w:right="0" w:firstLine="576"/>
        <w:jc w:val="left"/>
      </w:pPr>
      <w:r>
        <w:t>((</w:t>
      </w:r>
      <w:r>
        <w:rPr>
          <w:strike/>
        </w:rPr>
        <w:t xml:space="preserve">(5) The office of transit mobility must report quarterly to the secretary, and annually to the transportation committees of the legislature, on the progress of the office in meeting the goals and duties provided in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425</w:t>
      </w:r>
      <w:r>
        <w:rPr/>
        <w:t xml:space="preserve"> and 2021 c 294 s 4 are each amended to read as follows:</w:t>
      </w:r>
    </w:p>
    <w:p>
      <w:pPr>
        <w:spacing w:before="0" w:after="0" w:line="408" w:lineRule="exact"/>
        <w:ind w:left="0" w:right="0" w:firstLine="576"/>
        <w:jc w:val="left"/>
      </w:pPr>
      <w:r>
        <w:rPr/>
        <w:t xml:space="preserve">(1) Property owned by a public utility district that is exempt from property tax under RCW 84.36.010 is subject to an annual payment in lieu of property taxes if the property consists of a broadband infrastructure used in providing retail telecommunications services.</w:t>
      </w:r>
    </w:p>
    <w:p>
      <w:pPr>
        <w:spacing w:before="0" w:after="0" w:line="408" w:lineRule="exact"/>
        <w:ind w:left="0" w:right="0" w:firstLine="576"/>
        <w:jc w:val="left"/>
      </w:pPr>
      <w:r>
        <w:rPr/>
        <w:t xml:space="preserve">(2)(a) The amount of the payment must be determined jointly and in good faith negotiation between the public utility district that owns the property and the county or counties in which the property is located.</w:t>
      </w:r>
    </w:p>
    <w:p>
      <w:pPr>
        <w:spacing w:before="0" w:after="0" w:line="408" w:lineRule="exact"/>
        <w:ind w:left="0" w:right="0" w:firstLine="576"/>
        <w:jc w:val="left"/>
      </w:pPr>
      <w:r>
        <w:rPr/>
        <w:t xml:space="preserve">(b) The amount agreed upon may not exceed the property tax amount that would be owed on the property comprising the broadband infrastructure used in providing retail telecommunications services as calculated by the department of revenue. The public utility district must provide information necessary for the department of revenue to make the required valuation under this subsection. The department of revenue must provide the amount of property tax that would be owed on the property to the county or counties in which the broadband infrastructure is located on an annual basis.</w:t>
      </w:r>
    </w:p>
    <w:p>
      <w:pPr>
        <w:spacing w:before="0" w:after="0" w:line="408" w:lineRule="exact"/>
        <w:ind w:left="0" w:right="0" w:firstLine="576"/>
        <w:jc w:val="left"/>
      </w:pPr>
      <w:r>
        <w:rPr/>
        <w:t xml:space="preserve">(c) If the public utility district and a county cannot agree on the amount of the payment in lieu of taxes, either party may invoke binding arbitration by providing written notice to the other party. In the event that the amount of payment in lieu of taxes is submitted to binding arbitration, the arbitrators must consider the government services available to the public utility district's broadband infrastructure used in providing retail telecommunications services. The public utility district and county must each select one arbitrator, the two of whom must pick a third arbitrator. Costs of the arbitration, including compensation for the arbitrators' services, must be borne equally by the parties participating in the arbitration.</w:t>
      </w:r>
    </w:p>
    <w:p>
      <w:pPr>
        <w:spacing w:before="0" w:after="0" w:line="408" w:lineRule="exact"/>
        <w:ind w:left="0" w:right="0" w:firstLine="576"/>
        <w:jc w:val="left"/>
      </w:pPr>
      <w:r>
        <w:rPr/>
        <w:t xml:space="preserve">(3) By April 30th of each year, a public utility district must remit the annual payment to the county treasurer of each county in which the public utility district's broadband infrastructure used in providing retail telecommunications services is located in a form and manner required by the county treasurer.</w:t>
      </w:r>
    </w:p>
    <w:p>
      <w:pPr>
        <w:spacing w:before="0" w:after="0" w:line="408" w:lineRule="exact"/>
        <w:ind w:left="0" w:right="0" w:firstLine="576"/>
        <w:jc w:val="left"/>
      </w:pPr>
      <w:r>
        <w:rPr/>
        <w:t xml:space="preserve">(4) The county must distribute the amounts received under this section to all property taxing districts, including the state, in appropriate tax code areas in the same proportion as it would distribute property taxes from taxable property.</w:t>
      </w:r>
    </w:p>
    <w:p>
      <w:pPr>
        <w:spacing w:before="0" w:after="0" w:line="408" w:lineRule="exact"/>
        <w:ind w:left="0" w:right="0" w:firstLine="576"/>
        <w:jc w:val="left"/>
      </w:pPr>
      <w:r>
        <w:t>((</w:t>
      </w:r>
      <w:r>
        <w:rPr>
          <w:strike/>
        </w:rPr>
        <w:t xml:space="preserve">(5) By December 1, 2019, and annually thereafter, the department of revenue must submit a report to the appropriate legislative committees detailing the amount of payments made under this section and the amount of property tax that would be owed on the property comprising the broadband infrastructure used in providing retail telecommunications services.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inmates with access to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p>
    <w:p>
      <w:pPr>
        <w:spacing w:before="0" w:after="0" w:line="408" w:lineRule="exact"/>
        <w:ind w:left="0" w:right="0" w:firstLine="576"/>
        <w:jc w:val="left"/>
      </w:pPr>
      <w:r>
        <w:rPr/>
        <w:t xml:space="preserve">(a) Rates for facilitating telecommunication services including, but not limited to, phone calls, video visitation, videograms and video clips, emails, and accessing music and entertainment;</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inmate or customer in exchange for use of telecommunication or electronic media services through the contract.</w:t>
      </w:r>
    </w:p>
    <w:p>
      <w:pPr>
        <w:spacing w:before="0" w:after="0" w:line="408" w:lineRule="exact"/>
        <w:ind w:left="0" w:right="0" w:firstLine="576"/>
        <w:jc w:val="left"/>
      </w:pPr>
      <w:r>
        <w:rPr/>
        <w:t xml:space="preserve">(3) By July 1st of each year, the contractor that provides inmates with access to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per call and connection surcharges, bill statement fees, and refund fees;</w:t>
      </w:r>
    </w:p>
    <w:p>
      <w:pPr>
        <w:spacing w:before="0" w:after="0" w:line="408" w:lineRule="exact"/>
        <w:ind w:left="0" w:right="0" w:firstLine="576"/>
        <w:jc w:val="left"/>
      </w:pPr>
      <w:r>
        <w:rPr/>
        <w:t xml:space="preserve">(c) A total accounting of commissions provided to the department or correctional facility;</w:t>
      </w:r>
    </w:p>
    <w:p>
      <w:pPr>
        <w:spacing w:before="0" w:after="0" w:line="408" w:lineRule="exact"/>
        <w:ind w:left="0" w:right="0" w:firstLine="576"/>
        <w:jc w:val="left"/>
      </w:pPr>
      <w:r>
        <w:rPr/>
        <w:t xml:space="preserve">(d) A summary and accounting of services used by inmates categorized as indigent;</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w:t>
      </w:r>
      <w:r>
        <w:t>((</w:t>
      </w:r>
      <w:r>
        <w:rPr>
          <w:strike/>
        </w:rPr>
        <w:t xml:space="preserve">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strike/>
        </w:rPr>
        <w:t xml:space="preserve">(5)</w:t>
      </w:r>
      <w:r>
        <w:t>))</w:t>
      </w:r>
      <w:r>
        <w:rPr/>
        <w:t xml:space="preserve"> This section applies to any contract in effect on June 11, 2020, and to any renegotiation, renewal, or extension of such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2015 c 254 s 1 are each amended to read as follows:</w:t>
      </w:r>
    </w:p>
    <w:p>
      <w:pPr>
        <w:spacing w:before="0" w:after="0" w:line="408" w:lineRule="exact"/>
        <w:ind w:left="0" w:right="0" w:firstLine="576"/>
        <w:jc w:val="left"/>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The surcharge on recreational shellfish licenses cannot be increased more than one dollar and can only be increased when the surcharge for commercial shellfish licenses is increased. A surcharge of four dollars applies to resident and nonresident shellfish and seaweed licenses as authorized by RCW 77.32.520(3) (a) and (b); a surcharge of three dollars applies to resident and nonresident adult combination licenses as authorized by RCW 77.32.470(2)(a); a surcharge of three dollars applies to annual resident and nonresident razor clam licenses as authorized by RCW 77.32.520(4); and a surcharge of two dollars applies to the three-day razor clam license authorized by RCW 77.32.520(5). Amounts collected from these surcharges must be deposited in the biotoxin account created in subsection (3) of this section. The department may not use any amounts collected from these surcharges to pay for its administrative costs.</w:t>
      </w:r>
    </w:p>
    <w:p>
      <w:pPr>
        <w:spacing w:before="0" w:after="0" w:line="408" w:lineRule="exact"/>
        <w:ind w:left="0" w:right="0" w:firstLine="576"/>
        <w:jc w:val="left"/>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w:t>
      </w:r>
      <w:r>
        <w:t>((</w:t>
      </w:r>
      <w:r>
        <w:rPr>
          <w:strike/>
        </w:rPr>
        <w:t xml:space="preserve">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r>
        <w:t>))</w:t>
      </w:r>
    </w:p>
    <w:p>
      <w:pPr>
        <w:spacing w:before="0" w:after="0" w:line="408" w:lineRule="exact"/>
        <w:ind w:left="0" w:right="0" w:firstLine="576"/>
        <w:jc w:val="left"/>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470</w:t>
      </w:r>
      <w:r>
        <w:rPr/>
        <w:t xml:space="preserve"> and 2011 c 363 s 4 are each amended to read as follows:</w:t>
      </w:r>
    </w:p>
    <w:p>
      <w:pPr>
        <w:spacing w:before="0" w:after="0" w:line="408" w:lineRule="exact"/>
        <w:ind w:left="0" w:right="0" w:firstLine="576"/>
        <w:jc w:val="left"/>
      </w:pPr>
      <w:r>
        <w:rPr/>
        <w:t xml:space="preserve">(1)(a)(i) Moneys collected from the taxes imposed under RCW 82.14.465 may be used only for the following purposes:</w:t>
      </w:r>
    </w:p>
    <w:p>
      <w:pPr>
        <w:spacing w:before="0" w:after="0" w:line="408" w:lineRule="exact"/>
        <w:ind w:left="0" w:right="0" w:firstLine="576"/>
        <w:jc w:val="left"/>
      </w:pPr>
      <w:r>
        <w:rPr/>
        <w:t xml:space="preserve">(A) Principal and interest payments on bonds issued to finance or refinance public improvements in a benefit zone under the authority of RCW 39.100.060;</w:t>
      </w:r>
    </w:p>
    <w:p>
      <w:pPr>
        <w:spacing w:before="0" w:after="0" w:line="408" w:lineRule="exact"/>
        <w:ind w:left="0" w:right="0" w:firstLine="576"/>
        <w:jc w:val="left"/>
      </w:pPr>
      <w:r>
        <w:rPr/>
        <w:t xml:space="preserve">(B) Principal and interest payments on other bonds issued by the local government to finance public improvements; or</w:t>
      </w:r>
    </w:p>
    <w:p>
      <w:pPr>
        <w:spacing w:before="0" w:after="0" w:line="408" w:lineRule="exact"/>
        <w:ind w:left="0" w:right="0" w:firstLine="576"/>
        <w:jc w:val="left"/>
      </w:pPr>
      <w:r>
        <w:rPr/>
        <w:t xml:space="preserve">(C) Payments for public improvement costs.</w:t>
      </w:r>
    </w:p>
    <w:p>
      <w:pPr>
        <w:spacing w:before="0" w:after="0" w:line="408" w:lineRule="exact"/>
        <w:ind w:left="0" w:right="0" w:firstLine="576"/>
        <w:jc w:val="left"/>
      </w:pPr>
      <w:r>
        <w:rPr/>
        <w:t xml:space="preserve">(ii) Moneys collected and used as provided in (a)(i) of this subsection must be matched with an amount from local public sources dedicated, as further provided in RCW 82.14.465 (4)(c)(ii) and (7)(k), through December 31st of the previous calendar year to finance public improvements authorized under chapter 39.100 RCW.</w:t>
      </w:r>
    </w:p>
    <w:p>
      <w:pPr>
        <w:spacing w:before="0" w:after="0" w:line="408" w:lineRule="exact"/>
        <w:ind w:left="0" w:right="0" w:firstLine="576"/>
        <w:jc w:val="left"/>
      </w:pPr>
      <w:r>
        <w:rPr/>
        <w:t xml:space="preserve">(b) Local public sources are dedicated to finance public improvements if they: (i) Are actually expended to pay public improvement costs or debt service on bonds issued for public improvements; or (ii) are required by law or an agreement to be used exclusively to pay public improvement costs or debt service on bonds issued for public improvements.</w:t>
      </w:r>
    </w:p>
    <w:p>
      <w:pPr>
        <w:spacing w:before="0" w:after="0" w:line="408" w:lineRule="exact"/>
        <w:ind w:left="0" w:right="0" w:firstLine="576"/>
        <w:jc w:val="left"/>
      </w:pPr>
      <w:r>
        <w:rPr/>
        <w:t xml:space="preserve">(c) A city, town, or county is not required to expend taxes imposed under RCW 82.14.465 in the fiscal year in which the taxes are received.</w:t>
      </w:r>
    </w:p>
    <w:p>
      <w:pPr>
        <w:spacing w:before="0" w:after="0" w:line="408" w:lineRule="exact"/>
        <w:ind w:left="0" w:right="0" w:firstLine="576"/>
        <w:jc w:val="left"/>
      </w:pPr>
      <w:r>
        <w:rPr/>
        <w:t xml:space="preserve">(2) A local government must inform the department by the first day of March of the amount of local public sources allocated to the preceding calendar year to finance public improvements authorized under chapter 39.100 RCW.</w:t>
      </w:r>
    </w:p>
    <w:p>
      <w:pPr>
        <w:spacing w:before="0" w:after="0" w:line="408" w:lineRule="exact"/>
        <w:ind w:left="0" w:right="0" w:firstLine="576"/>
        <w:jc w:val="left"/>
      </w:pPr>
      <w:r>
        <w:rPr/>
        <w:t xml:space="preserve">(3) If a local government fails to comply with subsection (2) of this section, no tax may be imposed under RCW 82.14.465 in the subsequent fiscal year.</w:t>
      </w:r>
    </w:p>
    <w:p>
      <w:pPr>
        <w:spacing w:before="0" w:after="0" w:line="408" w:lineRule="exact"/>
        <w:ind w:left="0" w:right="0" w:firstLine="576"/>
        <w:jc w:val="left"/>
      </w:pPr>
      <w:r>
        <w:rPr/>
        <w:t xml:space="preserve">(4)(a) A local government must provide a report to the department and the state auditor by March 1st of each year. A local government must make a good faith effort to provide information required for the report.</w:t>
      </w:r>
    </w:p>
    <w:p>
      <w:pPr>
        <w:spacing w:before="0" w:after="0" w:line="408" w:lineRule="exact"/>
        <w:ind w:left="0" w:right="0" w:firstLine="576"/>
        <w:jc w:val="left"/>
      </w:pPr>
      <w:r>
        <w:rPr/>
        <w:t xml:space="preserve">(b) The report must contain the following information:</w:t>
      </w:r>
    </w:p>
    <w:p>
      <w:pPr>
        <w:spacing w:before="0" w:after="0" w:line="408" w:lineRule="exact"/>
        <w:ind w:left="0" w:right="0" w:firstLine="576"/>
        <w:jc w:val="left"/>
      </w:pPr>
      <w:r>
        <w:rPr/>
        <w:t xml:space="preserve">(i) The amount of tax allocation revenues, taxes under RCW 82.14.465, and local public sources received by the local government during the preceding calendar year, and a summary of how these revenues were expended; and</w:t>
      </w:r>
    </w:p>
    <w:p>
      <w:pPr>
        <w:spacing w:before="0" w:after="0" w:line="408" w:lineRule="exact"/>
        <w:ind w:left="0" w:right="0" w:firstLine="576"/>
        <w:jc w:val="left"/>
      </w:pPr>
      <w:r>
        <w:rPr/>
        <w:t xml:space="preserve">(ii) The names of any businesses known to the local government that have located within the benefit zone as a result of the public improvements undertaken by the local government and financed in whole or in part with hospital benefit zone financing.</w:t>
      </w:r>
    </w:p>
    <w:p>
      <w:pPr>
        <w:spacing w:before="0" w:after="0" w:line="408" w:lineRule="exact"/>
        <w:ind w:left="0" w:right="0" w:firstLine="576"/>
        <w:jc w:val="left"/>
      </w:pPr>
      <w:r>
        <w:t>((</w:t>
      </w:r>
      <w:r>
        <w:rPr>
          <w:strike/>
        </w:rPr>
        <w:t xml:space="preserve">(5) The department must make a report available to the public and the legislature by June 1st of each year. The report must include a list of public improvements undertaken by local governments and financed in whole or in part with hospital benefit zone financing, and it must also include a summary of the information provided to the department by local governments under subsection (4)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2016 c 207 s 5 are each amended to read as follows:</w:t>
      </w:r>
    </w:p>
    <w:p>
      <w:pPr>
        <w:spacing w:before="0" w:after="0" w:line="408" w:lineRule="exact"/>
        <w:ind w:left="0" w:right="0" w:firstLine="576"/>
        <w:jc w:val="left"/>
      </w:pPr>
      <w:r>
        <w:t>((</w:t>
      </w:r>
      <w:r>
        <w:rPr>
          <w:strike/>
        </w:rPr>
        <w:t xml:space="preserve">(1)</w:t>
      </w:r>
      <w:r>
        <w:t>))</w:t>
      </w:r>
      <w:r>
        <w:rPr/>
        <w:t xml:space="preserve">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amount of state property tax allocation revenues estimated to have been received by the state in the preceding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amounts, other than those listed in </w:t>
      </w:r>
      <w:r>
        <w:t>((</w:t>
      </w:r>
      <w:r>
        <w:rPr>
          <w:strike/>
        </w:rPr>
        <w:t xml:space="preserve">(a) through (d) of this</w:t>
      </w:r>
      <w:r>
        <w:t>))</w:t>
      </w:r>
      <w:r>
        <w:rPr/>
        <w:t xml:space="preserve"> subsection</w:t>
      </w:r>
      <w:r>
        <w:rPr>
          <w:u w:val="single"/>
        </w:rPr>
        <w:t xml:space="preserve">s (1) through (4) of this section</w:t>
      </w:r>
      <w:r>
        <w:rPr/>
        <w:t xml:space="preserve">,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The anticipated date when bonds under RCW 39.104.110 are expected to be retired;</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A list of public improvements financed by bonds issued under RCW 39.104.110 and the date on which the bonds are anticipated to be retired;</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That the sponsoring local government is in compliance with RCW 39.104.030;</w:t>
      </w:r>
    </w:p>
    <w:p>
      <w:pPr>
        <w:spacing w:before="0" w:after="0" w:line="408" w:lineRule="exact"/>
        <w:ind w:left="0" w:right="0" w:firstLine="576"/>
        <w:jc w:val="left"/>
      </w:pPr>
      <w:r>
        <w:t>((</w:t>
      </w:r>
      <w:r>
        <w:rPr>
          <w:strike/>
        </w:rPr>
        <w:t xml:space="preserve">(l)</w:t>
      </w:r>
      <w:r>
        <w:t>))</w:t>
      </w:r>
      <w:r>
        <w:rPr/>
        <w:t xml:space="preserve"> </w:t>
      </w:r>
      <w:r>
        <w:rPr>
          <w:u w:val="single"/>
        </w:rPr>
        <w:t xml:space="preserve">(12)</w:t>
      </w:r>
      <w:r>
        <w:rPr/>
        <w:t xml:space="preserve"> At least once every three years, updated estimates of the amounts of state and local sales and use tax increments estimated to have been received since the approval of the project award under RCW 39.104.100;</w:t>
      </w:r>
    </w:p>
    <w:p>
      <w:pPr>
        <w:spacing w:before="0" w:after="0" w:line="408" w:lineRule="exact"/>
        <w:ind w:left="0" w:right="0" w:firstLine="576"/>
        <w:jc w:val="left"/>
      </w:pPr>
      <w:r>
        <w:t>((</w:t>
      </w:r>
      <w:r>
        <w:rPr>
          <w:strike/>
        </w:rPr>
        <w:t xml:space="preserve">(m)</w:t>
      </w:r>
      <w:r>
        <w:t>))</w:t>
      </w:r>
      <w:r>
        <w:rPr/>
        <w:t xml:space="preserve"> </w:t>
      </w:r>
      <w:r>
        <w:rPr>
          <w:u w:val="single"/>
        </w:rPr>
        <w:t xml:space="preserve">(13)</w:t>
      </w:r>
      <w:r>
        <w:rPr/>
        <w:t xml:space="preserve">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t>((</w:t>
      </w:r>
      <w:r>
        <w:rPr>
          <w:strike/>
        </w:rPr>
        <w:t xml:space="preserve">(n)</w:t>
      </w:r>
      <w:r>
        <w:t>))</w:t>
      </w:r>
      <w:r>
        <w:rPr/>
        <w:t xml:space="preserve"> </w:t>
      </w:r>
      <w:r>
        <w:rPr>
          <w:u w:val="single"/>
        </w:rPr>
        <w:t xml:space="preserve">(14)</w:t>
      </w:r>
      <w:r>
        <w:rPr/>
        <w:t xml:space="preserve"> Any other information required by the department to enable the department to fulfill its duties under this chapter and RCW 82.14.510.</w:t>
      </w:r>
    </w:p>
    <w:p>
      <w:pPr>
        <w:spacing w:before="0" w:after="0" w:line="408" w:lineRule="exact"/>
        <w:ind w:left="0" w:right="0" w:firstLine="576"/>
        <w:jc w:val="left"/>
      </w:pPr>
      <w:r>
        <w:t>((</w:t>
      </w:r>
      <w:r>
        <w:rPr>
          <w:strike/>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32A</w:t>
      </w:r>
      <w:r>
        <w:rPr/>
        <w:t xml:space="preserve">.</w:t>
      </w:r>
      <w:r>
        <w:t xml:space="preserve">045</w:t>
      </w:r>
      <w:r>
        <w:rPr/>
        <w:t xml:space="preserve"> (Family reconciliation services</w:t>
      </w:r>
      <w:r>
        <w:rPr>
          <w:rFonts w:ascii="Times New Roman" w:hAnsi="Times New Roman"/>
        </w:rPr>
        <w:t xml:space="preserve">—</w:t>
      </w:r>
      <w:r>
        <w:rPr/>
        <w:t xml:space="preserve">Data) and 2020 c 51 s 4;</w:t>
      </w:r>
    </w:p>
    <w:p>
      <w:pPr>
        <w:spacing w:before="0" w:after="0" w:line="408" w:lineRule="exact"/>
        <w:ind w:left="0" w:right="0" w:firstLine="576"/>
        <w:jc w:val="left"/>
      </w:pPr>
      <w:r>
        <w:t xml:space="preserve">(2) </w:t>
      </w:r>
      <w:r>
        <w:rPr/>
        <w:t xml:space="preserve">RCW </w:t>
      </w:r>
      <w:r>
        <w:t xml:space="preserve">19</w:t>
      </w:r>
      <w:r>
        <w:rPr/>
        <w:t xml:space="preserve">.</w:t>
      </w:r>
      <w:r>
        <w:t xml:space="preserve">02</w:t>
      </w:r>
      <w:r>
        <w:rPr/>
        <w:t xml:space="preserve">.</w:t>
      </w:r>
      <w:r>
        <w:t xml:space="preserve">055</w:t>
      </w:r>
      <w:r>
        <w:rPr/>
        <w:t xml:space="preserve"> (Agency duties</w:t>
      </w:r>
      <w:r>
        <w:rPr>
          <w:rFonts w:ascii="Times New Roman" w:hAnsi="Times New Roman"/>
        </w:rPr>
        <w:t xml:space="preserve">—</w:t>
      </w:r>
      <w:r>
        <w:rPr/>
        <w:t xml:space="preserve">Information</w:t>
      </w:r>
      <w:r>
        <w:rPr>
          <w:rFonts w:ascii="Times New Roman" w:hAnsi="Times New Roman"/>
        </w:rPr>
        <w:t xml:space="preserve">—</w:t>
      </w:r>
      <w:r>
        <w:rPr/>
        <w:t xml:space="preserve">Certification) and 2013 c 111 s 2;</w:t>
      </w:r>
    </w:p>
    <w:p>
      <w:pPr>
        <w:spacing w:before="0" w:after="0" w:line="408" w:lineRule="exact"/>
        <w:ind w:left="0" w:right="0" w:firstLine="576"/>
        <w:jc w:val="left"/>
      </w:pPr>
      <w:r>
        <w:t xml:space="preserve">(3) </w:t>
      </w:r>
      <w:r>
        <w:rPr/>
        <w:t xml:space="preserve">RCW </w:t>
      </w:r>
      <w:r>
        <w:t xml:space="preserve">19</w:t>
      </w:r>
      <w:r>
        <w:rPr/>
        <w:t xml:space="preserve">.</w:t>
      </w:r>
      <w:r>
        <w:t xml:space="preserve">280</w:t>
      </w:r>
      <w:r>
        <w:rPr/>
        <w:t xml:space="preserve">.</w:t>
      </w:r>
      <w:r>
        <w:t xml:space="preserve">060</w:t>
      </w:r>
      <w:r>
        <w:rPr/>
        <w:t xml:space="preserve"> (Department's duties</w:t>
      </w:r>
      <w:r>
        <w:rPr>
          <w:rFonts w:ascii="Times New Roman" w:hAnsi="Times New Roman"/>
        </w:rPr>
        <w:t xml:space="preserve">—</w:t>
      </w:r>
      <w:r>
        <w:rPr/>
        <w:t xml:space="preserve">Report to the legislature) and 2015 3rd sp.s. c 19 s 10, 2013 c 149 s 4, &amp; 2006 c 195 s 6;</w:t>
      </w:r>
    </w:p>
    <w:p>
      <w:pPr>
        <w:spacing w:before="0" w:after="0" w:line="408" w:lineRule="exact"/>
        <w:ind w:left="0" w:right="0" w:firstLine="576"/>
        <w:jc w:val="left"/>
      </w:pPr>
      <w:r>
        <w:t xml:space="preserve">(4) </w:t>
      </w:r>
      <w:r>
        <w:rPr/>
        <w:t xml:space="preserve">RCW </w:t>
      </w:r>
      <w:r>
        <w:t xml:space="preserve">43</w:t>
      </w:r>
      <w:r>
        <w:rPr/>
        <w:t xml:space="preserve">.</w:t>
      </w:r>
      <w:r>
        <w:t xml:space="preserve">31</w:t>
      </w:r>
      <w:r>
        <w:rPr/>
        <w:t xml:space="preserve">.</w:t>
      </w:r>
      <w:r>
        <w:t xml:space="preserve">980</w:t>
      </w:r>
      <w:r>
        <w:rPr/>
        <w:t xml:space="preserve"> (Impact fee annual report) and 2015 c 241 s 4;</w:t>
      </w:r>
    </w:p>
    <w:p>
      <w:pPr>
        <w:spacing w:before="0" w:after="0" w:line="408" w:lineRule="exact"/>
        <w:ind w:left="0" w:right="0" w:firstLine="576"/>
        <w:jc w:val="left"/>
      </w:pPr>
      <w:r>
        <w:t xml:space="preserve">(5) </w:t>
      </w:r>
      <w:r>
        <w:rPr/>
        <w:t xml:space="preserve">RCW </w:t>
      </w:r>
      <w:r>
        <w:t xml:space="preserve">43</w:t>
      </w:r>
      <w:r>
        <w:rPr/>
        <w:t xml:space="preserve">.</w:t>
      </w:r>
      <w:r>
        <w:t xml:space="preserve">60A</w:t>
      </w:r>
      <w:r>
        <w:rPr/>
        <w:t xml:space="preserve">.</w:t>
      </w:r>
      <w:r>
        <w:t xml:space="preserve">101</w:t>
      </w:r>
      <w:r>
        <w:rPr/>
        <w:t xml:space="preserve"> (Peer-to-peer support program</w:t>
      </w:r>
      <w:r>
        <w:rPr>
          <w:rFonts w:ascii="Times New Roman" w:hAnsi="Times New Roman"/>
        </w:rPr>
        <w:t xml:space="preserve">—</w:t>
      </w:r>
      <w:r>
        <w:rPr/>
        <w:t xml:space="preserve">Report to the legislature) and 2017 c 192 s 5; and</w:t>
      </w:r>
    </w:p>
    <w:p>
      <w:pPr>
        <w:spacing w:before="0" w:after="0" w:line="408" w:lineRule="exact"/>
        <w:ind w:left="0" w:right="0" w:firstLine="576"/>
        <w:jc w:val="left"/>
      </w:pPr>
      <w:r>
        <w:t xml:space="preserve">(6) </w:t>
      </w:r>
      <w:r>
        <w:rPr/>
        <w:t xml:space="preserve">RCW </w:t>
      </w:r>
      <w:r>
        <w:t xml:space="preserve">62A</w:t>
      </w:r>
      <w:r>
        <w:rPr/>
        <w:t xml:space="preserve">.</w:t>
      </w:r>
      <w:r>
        <w:t xml:space="preserve">9A</w:t>
      </w:r>
      <w:r>
        <w:rPr/>
        <w:t xml:space="preserve">-</w:t>
      </w:r>
      <w:r>
        <w:t xml:space="preserve">527</w:t>
      </w:r>
      <w:r>
        <w:rPr/>
        <w:t xml:space="preserve"> (Duty to report) and 2000 c 250 s 9A-527.</w:t>
      </w:r>
    </w:p>
    <w:p/>
    <w:p>
      <w:pPr>
        <w:jc w:val="center"/>
      </w:pPr>
      <w:r>
        <w:rPr>
          <w:b/>
        </w:rPr>
        <w:t>--- END ---</w:t>
      </w:r>
    </w:p>
    <w:sectPr>
      <w:pgNumType w:start="1"/>
      <w:footerReference xmlns:r="http://schemas.openxmlformats.org/officeDocument/2006/relationships" r:id="Re2fbc195611e40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a8ba1456244fbe" /><Relationship Type="http://schemas.openxmlformats.org/officeDocument/2006/relationships/footer" Target="/word/footer1.xml" Id="Re2fbc195611e4024" /></Relationships>
</file>