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14fbaebc74cac" /></Relationships>
</file>

<file path=word/document.xml><?xml version="1.0" encoding="utf-8"?>
<w:document xmlns:w="http://schemas.openxmlformats.org/wordprocessingml/2006/main">
  <w:body>
    <w:p>
      <w:r>
        <w:t>H-2547.2</w:t>
      </w:r>
    </w:p>
    <w:p>
      <w:pPr>
        <w:jc w:val="center"/>
      </w:pPr>
      <w:r>
        <w:t>_______________________________________________</w:t>
      </w:r>
    </w:p>
    <w:p/>
    <w:p>
      <w:pPr>
        <w:jc w:val="center"/>
      </w:pPr>
      <w:r>
        <w:rPr>
          <w:b/>
        </w:rPr>
        <w:t>SUBSTITUTE HOUSE BILL 1396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Goodman and Bateman)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sentenced for aggravated first degree murder committed prior to reaching 21 years of age; amending RCW 9.94A.510, 9.94A.540, 9.94A.6332, and 9.94A.729; reenacting and amending RCW 10.95.030; adding new sections to chapter 10.95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w:t>
            </w:r>
            <w:r>
              <w:t>((</w:t>
            </w:r>
            <w:r>
              <w:rPr>
                <w:rFonts w:ascii="Times New Roman" w:hAnsi="Times New Roman"/>
                <w:strike/>
                <w:sz w:val="14"/>
              </w:rPr>
              <w:t xml:space="preserve">Life sentence without parole/death penalty for offenders at or over the age of eighteen. For offenders under the age of eighteen, a term of twenty-five years to life</w:t>
            </w:r>
            <w:r>
              <w:t>))</w:t>
            </w:r>
            <w:r>
              <w:rPr>
                <w:rFonts w:ascii="Times New Roman" w:hAnsi="Times New Roman"/>
                <w:sz w:val="14"/>
              </w:rPr>
              <w:t xml:space="preserve"> </w:t>
            </w:r>
            <w:r>
              <w:rPr>
                <w:rFonts w:ascii="Times New Roman" w:hAnsi="Times New Roman"/>
                <w:sz w:val="14"/>
                <w:u w:val="single"/>
              </w:rPr>
              <w:t xml:space="preserve">Sentence established by RCW 10.95.030</w:t>
            </w:r>
            <w:r>
              <w:rPr>
                <w:rFonts w:ascii="Times New Roman" w:hAnsi="Times New Roman"/>
                <w:sz w:val="14"/>
              </w:rPr>
              <w:t xml:space="preserv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shall be sentenced to a term of total confinement not less than twenty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sixty months.</w:t>
      </w:r>
    </w:p>
    <w:p>
      <w:pPr>
        <w:spacing w:before="0" w:after="0" w:line="408" w:lineRule="exact"/>
        <w:ind w:left="0" w:right="0" w:firstLine="576"/>
        <w:jc w:val="left"/>
      </w:pPr>
      <w:r>
        <w:rPr/>
        <w:t xml:space="preserve">(e) An offender convicted of the crime of aggravated first degree murder for a murder that was committed prior to the offender's </w:t>
      </w:r>
      <w:r>
        <w:t>((</w:t>
      </w:r>
      <w:r>
        <w:rPr>
          <w:strike/>
        </w:rPr>
        <w:t xml:space="preserve">eighteenth</w:t>
      </w:r>
      <w:r>
        <w:t>))</w:t>
      </w:r>
      <w:r>
        <w:rPr/>
        <w:t xml:space="preserve"> </w:t>
      </w:r>
      <w:r>
        <w:rPr>
          <w:u w:val="single"/>
        </w:rPr>
        <w:t xml:space="preserve">21st</w:t>
      </w:r>
      <w:r>
        <w:rPr/>
        <w:t xml:space="preserve"> birthday shall be sentenced to a term of total confinement </w:t>
      </w:r>
      <w:r>
        <w:t>((</w:t>
      </w:r>
      <w:r>
        <w:rPr>
          <w:strike/>
        </w:rPr>
        <w:t xml:space="preserve">not less than twenty-five years</w:t>
      </w:r>
      <w:r>
        <w:t>))</w:t>
      </w:r>
      <w:r>
        <w:rPr/>
        <w:t xml:space="preserve"> </w:t>
      </w:r>
      <w:r>
        <w:rPr>
          <w:u w:val="single"/>
        </w:rPr>
        <w:t xml:space="preserve">that is consistent with RCW 10.95.030</w:t>
      </w:r>
      <w:r>
        <w:rPr/>
        <w:t xml:space="preserve">.</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or (c)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rPr/>
        <w:t xml:space="preserve">(3)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rPr/>
        <w:t xml:space="preserve">(4)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rPr/>
        <w:t xml:space="preserve">(5) If a sex offender was sentenced pursuant to RCW 9.94A.507, any sanctions shall be imposed by the board pursuant to RCW 9.95.435.</w:t>
      </w:r>
    </w:p>
    <w:p>
      <w:pPr>
        <w:spacing w:before="0" w:after="0" w:line="408" w:lineRule="exact"/>
        <w:ind w:left="0" w:right="0" w:firstLine="576"/>
        <w:jc w:val="left"/>
      </w:pPr>
      <w:r>
        <w:rPr/>
        <w:t xml:space="preserve">(6) If the offender was released pursuant to RCW 9.94A.730, any sanctions shall be imposed by the board pursuant to RCW 9.95.435.</w:t>
      </w:r>
    </w:p>
    <w:p>
      <w:pPr>
        <w:spacing w:before="0" w:after="0" w:line="408" w:lineRule="exact"/>
        <w:ind w:left="0" w:right="0" w:firstLine="576"/>
        <w:jc w:val="left"/>
      </w:pPr>
      <w:r>
        <w:rPr/>
        <w:t xml:space="preserve">(7) If the offender was sentenced pursuant to RCW 10.95.030</w:t>
      </w:r>
      <w:r>
        <w:t>((</w:t>
      </w:r>
      <w:r>
        <w:rPr>
          <w:strike/>
        </w:rPr>
        <w:t xml:space="preserve">(3)</w:t>
      </w:r>
      <w:r>
        <w:t>))</w:t>
      </w:r>
      <w:r>
        <w:rPr/>
        <w:t xml:space="preserve"> </w:t>
      </w:r>
      <w:r>
        <w:rPr>
          <w:u w:val="single"/>
        </w:rPr>
        <w:t xml:space="preserve">(2), section 6 of this act,</w:t>
      </w:r>
      <w:r>
        <w:rPr/>
        <w:t xml:space="preserve"> or 10.95.035, any sanctions shall be imposed by the board pursuant to RCW 9.95.435.</w:t>
      </w:r>
    </w:p>
    <w:p>
      <w:pPr>
        <w:spacing w:before="0" w:after="0" w:line="408" w:lineRule="exact"/>
        <w:ind w:left="0" w:right="0" w:firstLine="576"/>
        <w:jc w:val="left"/>
      </w:pPr>
      <w:r>
        <w:rPr/>
        <w:t xml:space="preserve">(8)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rPr/>
        <w:t xml:space="preserve">(9)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2022 c 29 s 1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w:t>
      </w:r>
      <w:r>
        <w:t>((</w:t>
      </w:r>
      <w:r>
        <w:rPr>
          <w:strike/>
        </w:rPr>
        <w:t xml:space="preserve">(3)</w:t>
      </w:r>
      <w:r>
        <w:t>))</w:t>
      </w:r>
      <w:r>
        <w:rPr/>
        <w:t xml:space="preserve"> </w:t>
      </w:r>
      <w:r>
        <w:rPr>
          <w:u w:val="single"/>
        </w:rPr>
        <w:t xml:space="preserve">(2), section 6 of this act,</w:t>
      </w:r>
      <w:r>
        <w:rPr/>
        <w:t xml:space="preserve"> or 10.95.035, the offender may not receive any earned early release time during the minimum term of confinement imposed by the court; for any remaining portion of the sentence served by the offender, the aggregate earned release time may not exceed 10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15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10 percent of the sentence.</w:t>
      </w:r>
    </w:p>
    <w:p>
      <w:pPr>
        <w:spacing w:before="0" w:after="0" w:line="408" w:lineRule="exact"/>
        <w:ind w:left="0" w:right="0" w:firstLine="576"/>
        <w:jc w:val="left"/>
      </w:pPr>
      <w:r>
        <w:rPr/>
        <w:t xml:space="preserve">(d) An offender is qualified to earn up to 50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six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2023 c 102 s 23 and 2023 c 102 s 20 are each reenacted and amended to read as follows:</w:t>
      </w:r>
    </w:p>
    <w:p>
      <w:pPr>
        <w:spacing w:before="0" w:after="0" w:line="408" w:lineRule="exact"/>
        <w:ind w:left="0" w:right="0" w:firstLine="576"/>
        <w:jc w:val="left"/>
      </w:pPr>
      <w:r>
        <w:rPr/>
        <w:t xml:space="preserve">(1) Except as provided in subsection (2)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(2)(a)(i) Any person convicted of the crime of aggravated first degree murder for an offense committed prior to the person's </w:t>
      </w:r>
      <w:r>
        <w:t>((</w:t>
      </w:r>
      <w:r>
        <w:rPr>
          <w:strike/>
        </w:rPr>
        <w:t xml:space="preserve">sixteenth</w:t>
      </w:r>
      <w:r>
        <w:t>))</w:t>
      </w:r>
      <w:r>
        <w:rPr/>
        <w:t xml:space="preserve"> </w:t>
      </w:r>
      <w:r>
        <w:rPr>
          <w:u w:val="single"/>
        </w:rPr>
        <w:t xml:space="preserve">16th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(ii) Any person convicted of the crime of aggravated first degree murder for an offense committed when the person is at least </w:t>
      </w:r>
      <w:r>
        <w:t>((</w:t>
      </w:r>
      <w:r>
        <w:rPr>
          <w:strike/>
        </w:rPr>
        <w:t xml:space="preserve">sixteen</w:t>
      </w:r>
      <w:r>
        <w:t>))</w:t>
      </w:r>
      <w:r>
        <w:rPr/>
        <w:t xml:space="preserve"> </w:t>
      </w:r>
      <w:r>
        <w:rPr>
          <w:u w:val="single"/>
        </w:rPr>
        <w:t xml:space="preserve">16</w:t>
      </w:r>
      <w:r>
        <w:rPr/>
        <w:t xml:space="preserve"> years old but less than </w:t>
      </w:r>
      <w:r>
        <w:t>((</w:t>
      </w:r>
      <w:r>
        <w:rPr>
          <w:strike/>
        </w:rPr>
        <w:t xml:space="preserve">eighteen</w:t>
      </w:r>
      <w:r>
        <w:t>))</w:t>
      </w:r>
      <w:r>
        <w:rPr/>
        <w:t xml:space="preserve"> </w:t>
      </w:r>
      <w:r>
        <w:rPr>
          <w:u w:val="single"/>
        </w:rPr>
        <w:t xml:space="preserve">18</w:t>
      </w:r>
      <w:r>
        <w:rPr/>
        <w:t xml:space="preserve"> years old shall be sentenced to a maximum term of life imprisonment and a minimum term of total confinement of no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u w:val="single"/>
        </w:rPr>
        <w:t xml:space="preserve">(iii) Any person convicted of the crime of aggravated first degree murder for an offense committed when the person is at least 18 years old but less than 21 years old shall be sentenced to a maximum term of life imprisonment and a minimum term of total confinement of no less than 25 years if the court determines that the mitigating factors that account for the diminished culpability of youth, as described in (b) of this subsection, apply to the current offense. If the court determines that such mitigating factors do not apply, the person shall be sentenced to life imprisonment without possibility of release or parole.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9.94A.728(1)(c).</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person, who was sentenced prior to May 1, 2024, under this chapter or any prior law, to a term of life without the possibility of parole for an offense committed when the person is at least 18 years old but less than 21 years old,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Sections 1 through 6 of this act apply to all sentencing hearings conducted on or after May 1, 2024,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85ee6407fa7645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0ea879f434913" /><Relationship Type="http://schemas.openxmlformats.org/officeDocument/2006/relationships/footer" Target="/word/footer1.xml" Id="R85ee6407fa7645c0" /></Relationships>
</file>