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f608e8ef3a4e03" /></Relationships>
</file>

<file path=word/document.xml><?xml version="1.0" encoding="utf-8"?>
<w:document xmlns:w="http://schemas.openxmlformats.org/wordprocessingml/2006/main">
  <w:body>
    <w:p>
      <w:r>
        <w:t>H-0062.1</w:t>
      </w:r>
    </w:p>
    <w:p>
      <w:pPr>
        <w:jc w:val="center"/>
      </w:pPr>
      <w:r>
        <w:t>_______________________________________________</w:t>
      </w:r>
    </w:p>
    <w:p/>
    <w:p>
      <w:pPr>
        <w:jc w:val="center"/>
      </w:pPr>
      <w:r>
        <w:rPr>
          <w:b/>
        </w:rPr>
        <w:t>HOUSE BILL 1402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Jacobsen, Griffey, Chapman, Goehner, Volz, Couture, Abbarno, Chambers, Klicker, Barkis, Christian, and Stokesbary</w:t>
      </w:r>
    </w:p>
    <w:p/>
    <w:p>
      <w:r>
        <w:rPr>
          <w:t xml:space="preserve">Read first time 01/18/23.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urban growth boundaries to account for situations where property owners have not developed property as expected in comprehensive plans and development regulations; amending RCW 36.70A.110 and 36.70A.280; reenacting and amending RCW 36.70A.130;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fact that property owners control how and whether a property is developed. Many cities and counties are facing shortages for land where affordable housing can be built because property owners have chosen to leave property undeveloped or developed the land in a manner that is different from the patterns of growth expected when the urban growth boundaries were created. There is an immediate need for urban growth boundaries to be drawn to include land that can be developed to provide affordable housing. The legislature intends to provide cities and counties with an immediate solution to this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2022 c 252 s 4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w:t>
      </w:r>
      <w:r>
        <w:t>((</w:t>
      </w:r>
      <w:r>
        <w:rPr>
          <w:strike/>
        </w:rPr>
        <w:t xml:space="preserve">only if such territory already is characterized by urban growth</w:t>
      </w:r>
      <w:r>
        <w:t>))</w:t>
      </w:r>
      <w:r>
        <w:rPr/>
        <w:t xml:space="preserve"> whether or not the urban growth area includes a city, or is adjacent to territory already characterized by urban growth, or is a designated new fully contained community as defined by RCW 36.70A.350. When a federally recognized Indian tribe whose reservation or ceded lands lie within the county or city has voluntarily chosen to participate in the planning process pursuant to RCW 36.70A.040, the county or city and the tribe shall coordinate their planning efforts for any areas planned for urban growth consistent with the terms outlined in the memorandum of agreement provided for in RCW 36.70A.040(8).</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w:t>
      </w:r>
      <w:r>
        <w:t>((</w:t>
      </w:r>
      <w:r>
        <w:rPr>
          <w:strike/>
        </w:rPr>
        <w:t xml:space="preserve">twenty-year</w:t>
      </w:r>
      <w:r>
        <w:t>))</w:t>
      </w:r>
      <w:r>
        <w:rPr/>
        <w:t xml:space="preserve"> </w:t>
      </w:r>
      <w:r>
        <w:rPr>
          <w:u w:val="single"/>
        </w:rPr>
        <w:t xml:space="preserve">20-year</w:t>
      </w:r>
      <w:r>
        <w:rPr/>
        <w:t xml:space="preserve">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t>((</w:t>
      </w:r>
      <w:r>
        <w:rPr>
          <w:strike/>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r>
        <w:t>))</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w:t>
      </w:r>
      <w:r>
        <w:rPr>
          <w:u w:val="single"/>
        </w:rPr>
        <w:t xml:space="preserve">If there are properties or areas within urban growth boundaries or cities that are in flood plains or remain undeveloped or underdeveloped after 20 years, the county or city may assume that those properties or areas will not be developed as expected in the development regulations or comprehensive plan and expand the urban growth boundary to include more buildable land to satisfy projected need.</w:t>
      </w:r>
    </w:p>
    <w:p>
      <w:pPr>
        <w:spacing w:before="0" w:after="0" w:line="408" w:lineRule="exact"/>
        <w:ind w:left="0" w:right="0" w:firstLine="576"/>
        <w:jc w:val="left"/>
      </w:pPr>
      <w:r>
        <w:rPr>
          <w:u w:val="single"/>
        </w:rPr>
        <w:t xml:space="preserve">(5)</w:t>
      </w:r>
      <w:r>
        <w:rPr/>
        <w:t xml:space="preserve">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t>((</w:t>
      </w:r>
      <w:r>
        <w:rPr>
          <w:strike/>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r>
        <w:t>))</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w:t>
      </w:r>
      <w:r>
        <w:t>((</w:t>
      </w:r>
      <w:r>
        <w:rPr>
          <w:strike/>
        </w:rPr>
        <w:t xml:space="preserve">one hundred year</w:t>
      </w:r>
      <w:r>
        <w:t>))</w:t>
      </w:r>
      <w:r>
        <w:rPr/>
        <w:t xml:space="preserve"> </w:t>
      </w:r>
      <w:r>
        <w:rPr>
          <w:u w:val="single"/>
        </w:rPr>
        <w:t xml:space="preserve">100-year</w:t>
      </w:r>
      <w:r>
        <w:rPr/>
        <w:t xml:space="preserve"> floodplain of any river or river segment that: (i) Is located west of the crest of the Cascade mountains; and (ii) has a mean annual flow of </w:t>
      </w:r>
      <w:r>
        <w:t>((</w:t>
      </w:r>
      <w:r>
        <w:rPr>
          <w:strike/>
        </w:rPr>
        <w:t xml:space="preserve">one thousand</w:t>
      </w:r>
      <w:r>
        <w:t>))</w:t>
      </w:r>
      <w:r>
        <w:rPr/>
        <w:t xml:space="preserve"> </w:t>
      </w:r>
      <w:r>
        <w:rPr>
          <w:u w:val="single"/>
        </w:rPr>
        <w:t xml:space="preserve">1,000</w:t>
      </w:r>
      <w:r>
        <w:rPr/>
        <w:t xml:space="preserve">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w:t>
      </w:r>
      <w:r>
        <w:t>((</w:t>
      </w:r>
      <w:r>
        <w:rPr>
          <w:strike/>
        </w:rPr>
        <w:t xml:space="preserve">"one hundred year</w:t>
      </w:r>
      <w:r>
        <w:t>))</w:t>
      </w:r>
      <w:r>
        <w:rPr/>
        <w:t xml:space="preserve"> </w:t>
      </w:r>
      <w:r>
        <w:rPr>
          <w:u w:val="single"/>
        </w:rPr>
        <w:t xml:space="preserve">"100-year</w:t>
      </w:r>
      <w:r>
        <w:rPr/>
        <w:t xml:space="preserve">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w:t>
      </w:r>
      <w:r>
        <w:t>((</w:t>
      </w:r>
      <w:r>
        <w:rPr>
          <w:strike/>
        </w:rPr>
        <w:t xml:space="preserve">twenty-year</w:t>
      </w:r>
      <w:r>
        <w:t>))</w:t>
      </w:r>
      <w:r>
        <w:rPr/>
        <w:t xml:space="preserve"> </w:t>
      </w:r>
      <w:r>
        <w:rPr>
          <w:u w:val="single"/>
        </w:rPr>
        <w:t xml:space="preserve">20-year</w:t>
      </w:r>
      <w:r>
        <w:rPr/>
        <w:t xml:space="preserve"> planning period, nothing in this chapter obligates counties, cities, or utilities to install sanitary sewer systems to properties within urban growth areas designated under subsection (2) of this section by the end of the </w:t>
      </w:r>
      <w:r>
        <w:t>((</w:t>
      </w:r>
      <w:r>
        <w:rPr>
          <w:strike/>
        </w:rPr>
        <w:t xml:space="preserve">twenty-year</w:t>
      </w:r>
      <w:r>
        <w:t>))</w:t>
      </w:r>
      <w:r>
        <w:rPr/>
        <w:t xml:space="preserve"> </w:t>
      </w:r>
      <w:r>
        <w:rPr>
          <w:u w:val="single"/>
        </w:rPr>
        <w:t xml:space="preserve">20-year</w:t>
      </w:r>
      <w:r>
        <w:rPr/>
        <w:t xml:space="preserve">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floodplains, fish and wildlife habitats, or geological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w:t>
      </w:r>
      <w:r>
        <w:t>((</w:t>
      </w:r>
      <w:r>
        <w:rPr>
          <w:strike/>
        </w:rPr>
        <w:t xml:space="preserve">ten-year</w:t>
      </w:r>
      <w:r>
        <w:t>))</w:t>
      </w:r>
      <w:r>
        <w:rPr/>
        <w:t xml:space="preserve"> </w:t>
      </w:r>
      <w:r>
        <w:rPr>
          <w:u w:val="single"/>
        </w:rPr>
        <w:t xml:space="preserve">10-year</w:t>
      </w:r>
      <w:r>
        <w:rPr/>
        <w:t xml:space="preserve">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w:t>
      </w:r>
      <w:r>
        <w:t>((</w:t>
      </w:r>
      <w:r>
        <w:rPr>
          <w:strike/>
        </w:rPr>
        <w:t xml:space="preserve">one hundred year</w:t>
      </w:r>
      <w:r>
        <w:t>))</w:t>
      </w:r>
      <w:r>
        <w:rPr/>
        <w:t xml:space="preserve"> </w:t>
      </w:r>
      <w:r>
        <w:rPr>
          <w:u w:val="single"/>
        </w:rPr>
        <w:t xml:space="preserve">100-year</w:t>
      </w:r>
      <w:r>
        <w:rPr/>
        <w:t xml:space="preserve">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twenty-year</w:t>
      </w:r>
      <w:r>
        <w:t>))</w:t>
      </w:r>
      <w:r>
        <w:rPr/>
        <w:t xml:space="preserve"> </w:t>
      </w:r>
      <w:r>
        <w:rPr>
          <w:u w:val="single"/>
        </w:rPr>
        <w:t xml:space="preserve">20-year</w:t>
      </w:r>
      <w:r>
        <w:rPr/>
        <w:t xml:space="preserve"> period </w:t>
      </w:r>
      <w:r>
        <w:rPr>
          <w:u w:val="single"/>
        </w:rPr>
        <w:t xml:space="preserve">while making adjustments for properties or areas that are undeveloped, underdeveloped, or in the flood plain</w:t>
      </w:r>
      <w:r>
        <w:rPr/>
        <w:t xml:space="preserve">.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w:t>
      </w:r>
      <w:r>
        <w:t>((</w:t>
      </w:r>
      <w:r>
        <w:rPr>
          <w:strike/>
        </w:rPr>
        <w:t xml:space="preserve">twenty-four</w:t>
      </w:r>
      <w:r>
        <w:t>))</w:t>
      </w:r>
      <w:r>
        <w:rPr/>
        <w:t xml:space="preserve"> </w:t>
      </w:r>
      <w:r>
        <w:rPr>
          <w:u w:val="single"/>
        </w:rPr>
        <w:t xml:space="preserve">24</w:t>
      </w:r>
      <w:r>
        <w:rPr/>
        <w:t xml:space="preserve"> months following the deadline established in subsection (5) of this section: The county has a population of less than </w:t>
      </w:r>
      <w:r>
        <w:t>((</w:t>
      </w:r>
      <w:r>
        <w:rPr>
          <w:strike/>
        </w:rPr>
        <w:t xml:space="preserve">fifty thousand</w:t>
      </w:r>
      <w:r>
        <w:t>))</w:t>
      </w:r>
      <w:r>
        <w:rPr/>
        <w:t xml:space="preserve"> </w:t>
      </w:r>
      <w:r>
        <w:rPr>
          <w:u w:val="single"/>
        </w:rPr>
        <w:t xml:space="preserve">50,000</w:t>
      </w:r>
      <w:r>
        <w:rPr/>
        <w:t xml:space="preserve"> and has had its population increase by no more than </w:t>
      </w:r>
      <w:r>
        <w:t>((</w:t>
      </w:r>
      <w:r>
        <w:rPr>
          <w:strike/>
        </w:rPr>
        <w:t xml:space="preserve">seventeen</w:t>
      </w:r>
      <w:r>
        <w:t>))</w:t>
      </w:r>
      <w:r>
        <w:rPr/>
        <w:t xml:space="preserve"> </w:t>
      </w:r>
      <w:r>
        <w:rPr>
          <w:u w:val="single"/>
        </w:rPr>
        <w:t xml:space="preserve">17</w:t>
      </w:r>
      <w:r>
        <w:rPr/>
        <w:t xml:space="preserve"> percent in the </w:t>
      </w:r>
      <w:r>
        <w:t>((</w:t>
      </w:r>
      <w:r>
        <w:rPr>
          <w:strike/>
        </w:rPr>
        <w:t xml:space="preserve">ten</w:t>
      </w:r>
      <w:r>
        <w:t>))</w:t>
      </w:r>
      <w:r>
        <w:rPr/>
        <w:t xml:space="preserve"> </w:t>
      </w:r>
      <w:r>
        <w:rPr>
          <w:u w:val="single"/>
        </w:rPr>
        <w:t xml:space="preserve">10</w:t>
      </w:r>
      <w:r>
        <w:rPr/>
        <w:t xml:space="preserve">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w:t>
      </w:r>
      <w:r>
        <w:t>((</w:t>
      </w:r>
      <w:r>
        <w:rPr>
          <w:strike/>
        </w:rPr>
        <w:t xml:space="preserve">twenty-four</w:t>
      </w:r>
      <w:r>
        <w:t>))</w:t>
      </w:r>
      <w:r>
        <w:rPr/>
        <w:t xml:space="preserve"> </w:t>
      </w:r>
      <w:r>
        <w:rPr>
          <w:u w:val="single"/>
        </w:rPr>
        <w:t xml:space="preserve">24</w:t>
      </w:r>
      <w:r>
        <w:rPr/>
        <w:t xml:space="preserve"> months following the deadline established in subsection (5) of this section: The city has a population of no more than </w:t>
      </w:r>
      <w:r>
        <w:t>((</w:t>
      </w:r>
      <w:r>
        <w:rPr>
          <w:strike/>
        </w:rPr>
        <w:t xml:space="preserve">five thousand</w:t>
      </w:r>
      <w:r>
        <w:t>))</w:t>
      </w:r>
      <w:r>
        <w:rPr/>
        <w:t xml:space="preserve"> </w:t>
      </w:r>
      <w:r>
        <w:rPr>
          <w:u w:val="single"/>
        </w:rPr>
        <w:t xml:space="preserve">5,000</w:t>
      </w:r>
      <w:r>
        <w:rPr/>
        <w:t xml:space="preserve"> and has had its population increase by the greater of either no more than </w:t>
      </w:r>
      <w:r>
        <w:t>((</w:t>
      </w:r>
      <w:r>
        <w:rPr>
          <w:strike/>
        </w:rPr>
        <w:t xml:space="preserve">one hundred</w:t>
      </w:r>
      <w:r>
        <w:t>))</w:t>
      </w:r>
      <w:r>
        <w:rPr/>
        <w:t xml:space="preserve"> </w:t>
      </w:r>
      <w:r>
        <w:rPr>
          <w:u w:val="single"/>
        </w:rPr>
        <w:t xml:space="preserve">100</w:t>
      </w:r>
      <w:r>
        <w:rPr/>
        <w:t xml:space="preserve"> persons or no more than </w:t>
      </w:r>
      <w:r>
        <w:t>((</w:t>
      </w:r>
      <w:r>
        <w:rPr>
          <w:strike/>
        </w:rPr>
        <w:t xml:space="preserve">seventeen</w:t>
      </w:r>
      <w:r>
        <w:t>))</w:t>
      </w:r>
      <w:r>
        <w:rPr/>
        <w:t xml:space="preserve"> </w:t>
      </w:r>
      <w:r>
        <w:rPr>
          <w:u w:val="single"/>
        </w:rPr>
        <w:t xml:space="preserve">17</w:t>
      </w:r>
      <w:r>
        <w:rPr/>
        <w:t xml:space="preserve"> percent in the </w:t>
      </w:r>
      <w:r>
        <w:t>((</w:t>
      </w:r>
      <w:r>
        <w:rPr>
          <w:strike/>
        </w:rPr>
        <w:t xml:space="preserve">ten</w:t>
      </w:r>
      <w:r>
        <w:t>))</w:t>
      </w:r>
      <w:r>
        <w:rPr/>
        <w:t xml:space="preserve"> </w:t>
      </w:r>
      <w:r>
        <w:rPr>
          <w:u w:val="single"/>
        </w:rPr>
        <w:t xml:space="preserve">10</w:t>
      </w:r>
      <w:r>
        <w:rPr/>
        <w:t xml:space="preserve">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w:t>
      </w:r>
      <w:r>
        <w:t>((</w:t>
      </w:r>
      <w:r>
        <w:rPr>
          <w:strike/>
        </w:rPr>
        <w:t xml:space="preserve">twenty-year</w:t>
      </w:r>
      <w:r>
        <w:t>))</w:t>
      </w:r>
      <w:r>
        <w:rPr/>
        <w:t xml:space="preserve"> </w:t>
      </w:r>
      <w:r>
        <w:rPr>
          <w:u w:val="single"/>
        </w:rPr>
        <w:t xml:space="preserve">20-year</w:t>
      </w:r>
      <w:r>
        <w:rPr/>
        <w:t xml:space="preserve">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w:t>
      </w:r>
      <w:r>
        <w:rPr>
          <w:u w:val="single"/>
        </w:rPr>
        <w:t xml:space="preserve">The growth management hearings board is not given authority to hear or determine any petition regarding compliance or validity for adjustments of urban growth boundaries made using the authority provided in RCW 36.70A.110(4).</w:t>
      </w:r>
    </w:p>
    <w:p>
      <w:pPr>
        <w:spacing w:before="0" w:after="0" w:line="408" w:lineRule="exact"/>
        <w:ind w:left="0" w:right="0" w:firstLine="576"/>
        <w:jc w:val="left"/>
      </w:pPr>
      <w:r>
        <w:rPr>
          <w:u w:val="single"/>
        </w:rPr>
        <w:t xml:space="preserve">(3)</w:t>
      </w:r>
      <w:r>
        <w:rPr/>
        <w:t xml:space="preserve">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establish participation standing under subsection </w:t>
      </w:r>
      <w:r>
        <w:t>((</w:t>
      </w:r>
      <w:r>
        <w:rPr>
          <w:strike/>
        </w:rPr>
        <w:t xml:space="preserve">(2)</w:t>
      </w:r>
      <w:r>
        <w:t>))</w:t>
      </w:r>
      <w:r>
        <w:rPr/>
        <w:t xml:space="preserve"> </w:t>
      </w:r>
      <w:r>
        <w:rPr>
          <w:u w:val="single"/>
        </w:rPr>
        <w:t xml:space="preserve">(3)</w:t>
      </w:r>
      <w:r>
        <w:rPr/>
        <w:t xml:space="preserve">(b)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w:t>
      </w:r>
      <w:r>
        <w:t>((</w:t>
      </w:r>
      <w:r>
        <w:rPr>
          <w:strike/>
        </w:rPr>
        <w:t xml:space="preserve">ten</w:t>
      </w:r>
      <w:r>
        <w:t>))</w:t>
      </w:r>
      <w:r>
        <w:rPr/>
        <w:t xml:space="preserve"> </w:t>
      </w:r>
      <w:r>
        <w:rPr>
          <w:u w:val="single"/>
        </w:rPr>
        <w:t xml:space="preserve">10</w:t>
      </w:r>
      <w:r>
        <w:rPr/>
        <w:t xml:space="preserve">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
      <w:pPr>
        <w:jc w:val="center"/>
      </w:pPr>
      <w:r>
        <w:rPr>
          <w:b/>
        </w:rPr>
        <w:t>--- END ---</w:t>
      </w:r>
    </w:p>
    <w:sectPr>
      <w:pgNumType w:start="1"/>
      <w:footerReference xmlns:r="http://schemas.openxmlformats.org/officeDocument/2006/relationships" r:id="R272b2ac256f74c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0db31939f043b0" /><Relationship Type="http://schemas.openxmlformats.org/officeDocument/2006/relationships/footer" Target="/word/footer1.xml" Id="R272b2ac256f74c5e" /></Relationships>
</file>