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87c8bc0aa4640" /></Relationships>
</file>

<file path=word/document.xml><?xml version="1.0" encoding="utf-8"?>
<w:document xmlns:w="http://schemas.openxmlformats.org/wordprocessingml/2006/main">
  <w:body>
    <w:p>
      <w:r>
        <w:t>H-0968.2</w:t>
      </w:r>
    </w:p>
    <w:p>
      <w:pPr>
        <w:jc w:val="center"/>
      </w:pPr>
      <w:r>
        <w:t>_______________________________________________</w:t>
      </w:r>
    </w:p>
    <w:p/>
    <w:p>
      <w:pPr>
        <w:jc w:val="center"/>
      </w:pPr>
      <w:r>
        <w:rPr>
          <w:b/>
        </w:rPr>
        <w:t>SUBSTITUTE HOUSE BILL 1442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Low, Christian, Abbarno, Chapman, Eslick, and Pollet; by request of Secretary of State)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 is the subject of synthetic media in an electioneering communication may bring a cause of action against the person or entity who sponsored, with actual malice, the electioneering communication containing the synthetic media. Such candidate may seek injunctive or other equitable relief prohibiting the publication of such synthetic media. The candidate may also seek general or special damages against the sponsor of the electioneering communication, or a broadcasting station or other medium in accordance with section 3 of this act.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(3)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(4) In any action commenced under this section, the plaintiff bears the burden of proof by clear and convincing evidence.</w:t>
      </w:r>
    </w:p>
    <w:p>
      <w:pPr>
        <w:spacing w:before="0" w:after="0" w:line="408" w:lineRule="exact"/>
        <w:ind w:left="0" w:right="0" w:firstLine="576"/>
        <w:jc w:val="left"/>
      </w:pPr>
      <w:r>
        <w:rPr/>
        <w:t xml:space="preserve">(5) Courts are encouraged to determine matters under this section expediently.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 action brought under section 2 of this act, the sponsor of the electioneering communication may be held liable, and not the broadcasting station or other medium except as provided in subsection (2) of this section.</w:t>
      </w:r>
    </w:p>
    <w:p>
      <w:pPr>
        <w:spacing w:before="0" w:after="0" w:line="408" w:lineRule="exact"/>
        <w:ind w:left="0" w:right="0" w:firstLine="576"/>
        <w:jc w:val="left"/>
      </w:pPr>
      <w:r>
        <w:rPr/>
        <w:t xml:space="preserve">(2) A broadcasting station or other medium may be held liable in a cause of action brought under section 2 of this act if:</w:t>
      </w:r>
    </w:p>
    <w:p>
      <w:pPr>
        <w:spacing w:before="0" w:after="0" w:line="408" w:lineRule="exact"/>
        <w:ind w:left="0" w:right="0" w:firstLine="576"/>
        <w:jc w:val="left"/>
      </w:pPr>
      <w:r>
        <w:rPr/>
        <w:t xml:space="preserve">(a) The broadcasting station or other medium removes any disclosure described in section 2(3) of this act from the electioneering communication it broadcasts; or</w:t>
      </w:r>
    </w:p>
    <w:p>
      <w:pPr>
        <w:spacing w:before="0" w:after="0" w:line="408" w:lineRule="exact"/>
        <w:ind w:left="0" w:right="0" w:firstLine="576"/>
        <w:jc w:val="left"/>
      </w:pPr>
      <w:r>
        <w:rPr/>
        <w:t xml:space="preserve">(b) Subject to affirmative defenses described in section 2 of this act, the broadcasting station or other medium changes, with actual malice, the content of an electioneering communication such that it then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may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30cae8934f04d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4d349ba004f21" /><Relationship Type="http://schemas.openxmlformats.org/officeDocument/2006/relationships/footer" Target="/word/footer1.xml" Id="R330cae8934f04d7d" /></Relationships>
</file>