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a173e67e914b34" /></Relationships>
</file>

<file path=word/document.xml><?xml version="1.0" encoding="utf-8"?>
<w:document xmlns:w="http://schemas.openxmlformats.org/wordprocessingml/2006/main">
  <w:body>
    <w:p>
      <w:r>
        <w:t>H-0469.2</w:t>
      </w:r>
    </w:p>
    <w:p>
      <w:pPr>
        <w:jc w:val="center"/>
      </w:pPr>
      <w:r>
        <w:t>_______________________________________________</w:t>
      </w:r>
    </w:p>
    <w:p/>
    <w:p>
      <w:pPr>
        <w:jc w:val="center"/>
      </w:pPr>
      <w:r>
        <w:rPr>
          <w:b/>
        </w:rPr>
        <w:t>HOUSE BILL 1449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Alvarado, Hutchins, Fitzgibbon, Simmons, Christian, Low, Reed, Gregerson, Macri, and Bateman</w:t>
      </w:r>
    </w:p>
    <w:p/>
    <w:p>
      <w:r>
        <w:rPr>
          <w:t xml:space="preserve">Read first time 01/19/23.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reporting requirements for the project permit application processing timeline; and amending RCW 36.70B.020, 36.70B.080, and 36.70A.500.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w:t>
      </w:r>
      <w:r>
        <w:t>((</w:t>
      </w:r>
      <w:r>
        <w:rPr>
          <w:strike/>
        </w:rPr>
        <w:t xml:space="preserve">or license</w:t>
      </w:r>
      <w:r>
        <w:t>))</w:t>
      </w:r>
      <w:r>
        <w:rPr/>
        <w:t xml:space="preserve"> required from a local government for a project action, including but not limited to </w:t>
      </w:r>
      <w:r>
        <w:t>((</w:t>
      </w:r>
      <w:r>
        <w:rPr>
          <w:strike/>
        </w:rPr>
        <w:t xml:space="preserve">building permits,</w:t>
      </w:r>
      <w:r>
        <w:t>))</w:t>
      </w:r>
      <w:r>
        <w:rPr/>
        <w:t xml:space="preserve"> subdivisions, binding site plans, planned unit developments, conditional uses, shoreline substantial development permits, site plan review, permits or approvals required by critical area ordinances, site-specific rezones authorized by a comprehensive plan or subarea plan, but excluding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one hundred twenty days, unless the local government makes written findings that a specified amount of additional time is needed to process specific complete project permit applications or project types.</w:t>
      </w:r>
    </w:p>
    <w:p>
      <w:pPr>
        <w:spacing w:before="0" w:after="0" w:line="408" w:lineRule="exact"/>
        <w:ind w:left="0" w:right="0" w:firstLine="576"/>
        <w:jc w:val="left"/>
      </w:pPr>
      <w:r>
        <w:rPr/>
        <w:t xml:space="preserve">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rPr/>
        <w:t xml:space="preserve">(2)(a) Counties subject to the requirements of RCW 36.70A.215 and the cities within those counties that have populations of at least twenty thousand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annual performance reports that 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t xml:space="preserve">(i) Total number of complete applications received during the year;</w:t>
      </w:r>
    </w:p>
    <w:p>
      <w:pPr>
        <w:spacing w:before="0" w:after="0" w:line="408" w:lineRule="exact"/>
        <w:ind w:left="0" w:right="0" w:firstLine="576"/>
        <w:jc w:val="left"/>
      </w:pPr>
      <w:r>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t xml:space="preserve">(vi) The mean processing time and the number standard deviation from the mean.</w:t>
      </w:r>
    </w:p>
    <w:p>
      <w:pPr>
        <w:spacing w:before="0" w:after="0" w:line="408" w:lineRule="exact"/>
        <w:ind w:left="0" w:right="0" w:firstLine="576"/>
        <w:jc w:val="left"/>
      </w:pPr>
      <w:r>
        <w:rPr/>
        <w:t xml:space="preserve">(c) Counties and cities subject to the requirements of this subsection must:</w:t>
      </w:r>
    </w:p>
    <w:p>
      <w:pPr>
        <w:spacing w:before="0" w:after="0" w:line="408" w:lineRule="exact"/>
        <w:ind w:left="0" w:right="0" w:firstLine="576"/>
        <w:jc w:val="left"/>
      </w:pPr>
      <w:r>
        <w:rPr/>
        <w:t xml:space="preserve">(i) Provide notice of and access to the annual performance reports through the county's or city's website; </w:t>
      </w:r>
      <w:r>
        <w:t>((</w:t>
      </w:r>
      <w:r>
        <w:rPr>
          <w:strike/>
        </w:rPr>
        <w:t xml:space="preserve">and</w:t>
      </w:r>
      <w:r>
        <w:t>))</w:t>
      </w:r>
    </w:p>
    <w:p>
      <w:pPr>
        <w:spacing w:before="0" w:after="0" w:line="408" w:lineRule="exact"/>
        <w:ind w:left="0" w:right="0" w:firstLine="576"/>
        <w:jc w:val="left"/>
      </w:pPr>
      <w:r>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t xml:space="preserve">If a county or city subject to the requirements of this subsection does not maintain a website, notice of the reports must be given by reasonable methods, including but not limited to those methods specified in RCW 36.70B.110(4)</w:t>
      </w:r>
      <w:r>
        <w:rPr>
          <w:u w:val="single"/>
        </w:rPr>
        <w:t xml:space="preserve">; and</w:t>
      </w:r>
    </w:p>
    <w:p>
      <w:pPr>
        <w:spacing w:before="0" w:after="0" w:line="408" w:lineRule="exact"/>
        <w:ind w:left="0" w:right="0" w:firstLine="576"/>
        <w:jc w:val="left"/>
      </w:pPr>
      <w:r>
        <w:rPr>
          <w:u w:val="single"/>
        </w:rPr>
        <w:t xml:space="preserve">(iii) Provide an annual report to the department of commerce no later than December 15th detailing each instance in which it took the county or city longer than the time frame identified in subsection (1) of this section to issue a permit in response to a project permit application in the prior year. For each such instance, the county or city must explain the reason for the length of time required to process the project permit application</w:t>
      </w:r>
      <w:r>
        <w:rPr/>
        <w:t xml:space="preserve">.</w:t>
      </w:r>
    </w:p>
    <w:p>
      <w:pPr>
        <w:spacing w:before="0" w:after="0" w:line="408" w:lineRule="exact"/>
        <w:ind w:left="0" w:right="0" w:firstLine="576"/>
        <w:jc w:val="left"/>
      </w:pPr>
      <w:r>
        <w:rPr/>
        <w:t xml:space="preserve">(3)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rPr/>
        <w:t xml:space="preserve">(4) The department of </w:t>
      </w:r>
      <w:r>
        <w:t>((</w:t>
      </w:r>
      <w:r>
        <w:rPr>
          <w:strike/>
        </w:rPr>
        <w:t xml:space="preserve">community, trade, and economic development</w:t>
      </w:r>
      <w:r>
        <w:t>))</w:t>
      </w:r>
      <w:r>
        <w:rPr/>
        <w:t xml:space="preserve"> </w:t>
      </w:r>
      <w:r>
        <w:rPr>
          <w:u w:val="single"/>
        </w:rPr>
        <w:t xml:space="preserve">commerce</w:t>
      </w:r>
      <w:r>
        <w:rPr/>
        <w:t xml:space="preserve">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p>
    <w:p>
      <w:pPr>
        <w:spacing w:before="0" w:after="0" w:line="408" w:lineRule="exact"/>
        <w:ind w:left="0" w:right="0" w:firstLine="576"/>
        <w:jc w:val="left"/>
      </w:pPr>
      <w:r>
        <w:rPr>
          <w:u w:val="single"/>
        </w:rPr>
        <w:t xml:space="preserve">(5)(a) The department of commerce shall develop and maintain a website that compiles the data provided to the department by counties and cities pursuant to subsection (2)(c)(iii) of this section. The data presented on the website must be accessible by, at a minimum, a list view of jurisdictions, a map view of jurisdictions, and a list view of types of project permit applications.</w:t>
      </w:r>
    </w:p>
    <w:p>
      <w:pPr>
        <w:spacing w:before="0" w:after="0" w:line="408" w:lineRule="exact"/>
        <w:ind w:left="0" w:right="0" w:firstLine="576"/>
        <w:jc w:val="left"/>
      </w:pPr>
      <w:r>
        <w:rPr>
          <w:u w:val="single"/>
        </w:rPr>
        <w:t xml:space="preserve">(b) A county or city subject to the reporting requirements of subsection (2)(c)(iii) of this section is ineligible to receive grants from the growth management planning and environmental review fund under RCW 36.70A.500 unless the county or city has certified to the department, and the department has confirmed, that the county or city is in compliance with the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500</w:t>
      </w:r>
      <w:r>
        <w:rPr/>
        <w:t xml:space="preserve"> and 2012 1st sp.s. c 1 s 310 are each amended to read as follows:</w:t>
      </w:r>
    </w:p>
    <w:p>
      <w:pPr>
        <w:spacing w:before="0" w:after="0" w:line="408" w:lineRule="exact"/>
        <w:ind w:left="0" w:right="0" w:firstLine="576"/>
        <w:jc w:val="left"/>
      </w:pPr>
      <w:r>
        <w:rPr/>
        <w:t xml:space="preserve">(1) The department of commerce shall provide management services for the growth management planning and environmental review fund created by RCW 36.70A.490. The department shall establish procedures for fund management. The department shall encourage participation in the grant or loan program by other public agencies. The department shall develop the grant or loan criteria, monitor the grant or loan program, and select grant or loan recipients in consultation with state agencies participating in the grant or loan program through the provision of grant or loan funds or technical assistance.</w:t>
      </w:r>
    </w:p>
    <w:p>
      <w:pPr>
        <w:spacing w:before="0" w:after="0" w:line="408" w:lineRule="exact"/>
        <w:ind w:left="0" w:right="0" w:firstLine="576"/>
        <w:jc w:val="left"/>
      </w:pPr>
      <w:r>
        <w:rPr/>
        <w:t xml:space="preserve">(2) A grant or loan may be awarded to a county or city that is required to or has chosen to plan under RCW 36.70A.040 and that is qualified pursuant to this section. The grant or loan shall be provided to assist a county or city in paying for the cost of preparing an environmental analysis under chapter 43.21C RCW, that is integrated with a comprehensive plan, subarea plan, plan element, countywide planning policy, development regulation, monitoring program, or other planning activity adopted under or implementing this chapter that:</w:t>
      </w:r>
    </w:p>
    <w:p>
      <w:pPr>
        <w:spacing w:before="0" w:after="0" w:line="408" w:lineRule="exact"/>
        <w:ind w:left="0" w:right="0" w:firstLine="576"/>
        <w:jc w:val="left"/>
      </w:pPr>
      <w:r>
        <w:rPr/>
        <w:t xml:space="preserve">(a) Improves the process for project permit review while maintaining environmental quality; or</w:t>
      </w:r>
    </w:p>
    <w:p>
      <w:pPr>
        <w:spacing w:before="0" w:after="0" w:line="408" w:lineRule="exact"/>
        <w:ind w:left="0" w:right="0" w:firstLine="576"/>
        <w:jc w:val="left"/>
      </w:pPr>
      <w:r>
        <w:rPr/>
        <w:t xml:space="preserve">(b) Encourages use of plans and information developed for purposes of complying with this chapter to satisfy requirements of other state programs.</w:t>
      </w:r>
    </w:p>
    <w:p>
      <w:pPr>
        <w:spacing w:before="0" w:after="0" w:line="408" w:lineRule="exact"/>
        <w:ind w:left="0" w:right="0" w:firstLine="576"/>
        <w:jc w:val="left"/>
      </w:pPr>
      <w:r>
        <w:rPr/>
        <w:t xml:space="preserve">(3) In order to qualify for a grant or loan, a county or city shall:</w:t>
      </w:r>
    </w:p>
    <w:p>
      <w:pPr>
        <w:spacing w:before="0" w:after="0" w:line="408" w:lineRule="exact"/>
        <w:ind w:left="0" w:right="0" w:firstLine="576"/>
        <w:jc w:val="left"/>
      </w:pPr>
      <w:r>
        <w:rPr/>
        <w:t xml:space="preserve">(a) Demonstrate that it will prepare an environmental analysis pursuant to chapter 43.21C RCW and subsection (2) of this section that is integrated with a comprehensive plan, subarea plan, plan element, countywide planning policy, development regulations, monitoring program, or other planning activity adopted under or implementing this chapter;</w:t>
      </w:r>
    </w:p>
    <w:p>
      <w:pPr>
        <w:spacing w:before="0" w:after="0" w:line="408" w:lineRule="exact"/>
        <w:ind w:left="0" w:right="0" w:firstLine="576"/>
        <w:jc w:val="left"/>
      </w:pPr>
      <w:r>
        <w:rPr/>
        <w:t xml:space="preserve">(b) Address environmental impacts and consequences, alternatives, and mitigation measures in sufficient detail to allow the analysis to be adopted in whole or in part by applicants for development permits within the geographic area analyzed in the plan;</w:t>
      </w:r>
    </w:p>
    <w:p>
      <w:pPr>
        <w:spacing w:before="0" w:after="0" w:line="408" w:lineRule="exact"/>
        <w:ind w:left="0" w:right="0" w:firstLine="576"/>
        <w:jc w:val="left"/>
      </w:pPr>
      <w:r>
        <w:rPr/>
        <w:t xml:space="preserve">(c) Demonstrate that procedures for review of development permit applications will be based on the integrated plans and environmental analysis;</w:t>
      </w:r>
    </w:p>
    <w:p>
      <w:pPr>
        <w:spacing w:before="0" w:after="0" w:line="408" w:lineRule="exact"/>
        <w:ind w:left="0" w:right="0" w:firstLine="576"/>
        <w:jc w:val="left"/>
      </w:pPr>
      <w:r>
        <w:rPr/>
        <w:t xml:space="preserve">(d) Include mechanisms to monitor the consequences of growth as it occurs in the plan area and to use the resulting data to update the plan, policy, or implementing mechanisms and associated environmental analysis;</w:t>
      </w:r>
    </w:p>
    <w:p>
      <w:pPr>
        <w:spacing w:before="0" w:after="0" w:line="408" w:lineRule="exact"/>
        <w:ind w:left="0" w:right="0" w:firstLine="576"/>
        <w:jc w:val="left"/>
      </w:pPr>
      <w:r>
        <w:rPr/>
        <w:t xml:space="preserve">(e) Demonstrate substantial progress towards compliance with the requirements of this chapter. A county or city that is more than six months out of compliance with a requirement of this chapter is deemed not to be making substantial progress towards compliance; and</w:t>
      </w:r>
    </w:p>
    <w:p>
      <w:pPr>
        <w:spacing w:before="0" w:after="0" w:line="408" w:lineRule="exact"/>
        <w:ind w:left="0" w:right="0" w:firstLine="576"/>
        <w:jc w:val="left"/>
      </w:pPr>
      <w:r>
        <w:rPr/>
        <w:t xml:space="preserve">(f) Provide local funding, which may include financial participation by the private sector.</w:t>
      </w:r>
    </w:p>
    <w:p>
      <w:pPr>
        <w:spacing w:before="0" w:after="0" w:line="408" w:lineRule="exact"/>
        <w:ind w:left="0" w:right="0" w:firstLine="576"/>
        <w:jc w:val="left"/>
      </w:pPr>
      <w:r>
        <w:rPr/>
        <w:t xml:space="preserve">(4) In awarding grants or loans, the department shall give preference to proposals that include one or more of the following elements:</w:t>
      </w:r>
    </w:p>
    <w:p>
      <w:pPr>
        <w:spacing w:before="0" w:after="0" w:line="408" w:lineRule="exact"/>
        <w:ind w:left="0" w:right="0" w:firstLine="576"/>
        <w:jc w:val="left"/>
      </w:pPr>
      <w:r>
        <w:rPr/>
        <w:t xml:space="preserve">(a) Financial participation by the private sector, or a public/private partnering approach;</w:t>
      </w:r>
    </w:p>
    <w:p>
      <w:pPr>
        <w:spacing w:before="0" w:after="0" w:line="408" w:lineRule="exact"/>
        <w:ind w:left="0" w:right="0" w:firstLine="576"/>
        <w:jc w:val="left"/>
      </w:pPr>
      <w:r>
        <w:rPr/>
        <w:t xml:space="preserve">(b) Identification and monitoring of system capacities for elements of the built environment, and to the extent appropriate, of the natural environment;</w:t>
      </w:r>
    </w:p>
    <w:p>
      <w:pPr>
        <w:spacing w:before="0" w:after="0" w:line="408" w:lineRule="exact"/>
        <w:ind w:left="0" w:right="0" w:firstLine="576"/>
        <w:jc w:val="left"/>
      </w:pPr>
      <w:r>
        <w:rPr/>
        <w:t xml:space="preserve">(c) Coordination with state, federal, and tribal governments in project review;</w:t>
      </w:r>
    </w:p>
    <w:p>
      <w:pPr>
        <w:spacing w:before="0" w:after="0" w:line="408" w:lineRule="exact"/>
        <w:ind w:left="0" w:right="0" w:firstLine="576"/>
        <w:jc w:val="left"/>
      </w:pPr>
      <w:r>
        <w:rPr/>
        <w:t xml:space="preserve">(d) Furtherance of important state objectives related to economic development, protection of areas of statewide significance, and siting of essential public facilities;</w:t>
      </w:r>
    </w:p>
    <w:p>
      <w:pPr>
        <w:spacing w:before="0" w:after="0" w:line="408" w:lineRule="exact"/>
        <w:ind w:left="0" w:right="0" w:firstLine="576"/>
        <w:jc w:val="left"/>
      </w:pPr>
      <w:r>
        <w:rPr/>
        <w:t xml:space="preserve">(e) Programs to improve the efficiency and effectiveness of the permitting process by greater reliance on integrated plans and prospective environmental analysis;</w:t>
      </w:r>
    </w:p>
    <w:p>
      <w:pPr>
        <w:spacing w:before="0" w:after="0" w:line="408" w:lineRule="exact"/>
        <w:ind w:left="0" w:right="0" w:firstLine="576"/>
        <w:jc w:val="left"/>
      </w:pPr>
      <w:r>
        <w:rPr/>
        <w:t xml:space="preserve">(f) Programs for effective citizen and neighborhood involvement that contribute to greater likelihood that planning decisions can be implemented with community support;</w:t>
      </w:r>
    </w:p>
    <w:p>
      <w:pPr>
        <w:spacing w:before="0" w:after="0" w:line="408" w:lineRule="exact"/>
        <w:ind w:left="0" w:right="0" w:firstLine="576"/>
        <w:jc w:val="left"/>
      </w:pPr>
      <w:r>
        <w:rPr/>
        <w:t xml:space="preserve">(g) Programs to identify environmental impacts and establish mitigation measures that provide effective means to satisfy concurrency requirements and establish project consistency with the plans; or</w:t>
      </w:r>
    </w:p>
    <w:p>
      <w:pPr>
        <w:spacing w:before="0" w:after="0" w:line="408" w:lineRule="exact"/>
        <w:ind w:left="0" w:right="0" w:firstLine="576"/>
        <w:jc w:val="left"/>
      </w:pPr>
      <w:r>
        <w:rPr/>
        <w:t xml:space="preserve">(h) Environmental review that addresses the impacts of increased density or intensity of comprehensive plans, subarea plans, or receiving areas designated by a city or town under the regional transfer of development rights program in chapter 43.362 RCW.</w:t>
      </w:r>
    </w:p>
    <w:p>
      <w:pPr>
        <w:spacing w:before="0" w:after="0" w:line="408" w:lineRule="exact"/>
        <w:ind w:left="0" w:right="0" w:firstLine="576"/>
        <w:jc w:val="left"/>
      </w:pPr>
      <w:r>
        <w:rPr/>
        <w:t xml:space="preserve">(5) If the local funding includes funding provided by other state functional planning programs, including open space planning and watershed or basin planning, the functional plan shall be integrated into and be consistent with the comprehensive plan.</w:t>
      </w:r>
    </w:p>
    <w:p>
      <w:pPr>
        <w:spacing w:before="0" w:after="0" w:line="408" w:lineRule="exact"/>
        <w:ind w:left="0" w:right="0" w:firstLine="576"/>
        <w:jc w:val="left"/>
      </w:pPr>
      <w:r>
        <w:rPr/>
        <w:t xml:space="preserve">(6) State agencies shall work with grant or loan recipients to facilitate state and local project review processes that will implement the projects receiving grants or loans under this section.</w:t>
      </w:r>
    </w:p>
    <w:p>
      <w:pPr>
        <w:spacing w:before="0" w:after="0" w:line="408" w:lineRule="exact"/>
        <w:ind w:left="0" w:right="0" w:firstLine="576"/>
        <w:jc w:val="left"/>
      </w:pPr>
      <w:r>
        <w:rPr>
          <w:u w:val="single"/>
        </w:rPr>
        <w:t xml:space="preserve">(7) The department may not award a grant from the growth management planning and environmental review fund to a county or city unless the county or city has certified to the department, and the department has confirmed, that the county or city is in compliance with the reporting requirements in RCW 36.70B.080(2)(c)(iii) or that the city or county is not subject to the reporting requirements in RCW 36.70B.080(2)(c)(iii).</w:t>
      </w:r>
    </w:p>
    <w:p/>
    <w:p>
      <w:pPr>
        <w:jc w:val="center"/>
      </w:pPr>
      <w:r>
        <w:rPr>
          <w:b/>
        </w:rPr>
        <w:t>--- END ---</w:t>
      </w:r>
    </w:p>
    <w:sectPr>
      <w:pgNumType w:start="1"/>
      <w:footerReference xmlns:r="http://schemas.openxmlformats.org/officeDocument/2006/relationships" r:id="R27eb7a66ebae4d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a867971a344ede" /><Relationship Type="http://schemas.openxmlformats.org/officeDocument/2006/relationships/footer" Target="/word/footer1.xml" Id="R27eb7a66ebae4d1f" /></Relationships>
</file>