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bc66d9fdaf49c9" /></Relationships>
</file>

<file path=word/document.xml><?xml version="1.0" encoding="utf-8"?>
<w:document xmlns:w="http://schemas.openxmlformats.org/wordprocessingml/2006/main">
  <w:body>
    <w:p>
      <w:r>
        <w:t>H-0608.1</w:t>
      </w:r>
    </w:p>
    <w:p>
      <w:pPr>
        <w:jc w:val="center"/>
      </w:pPr>
      <w:r>
        <w:t>_______________________________________________</w:t>
      </w:r>
    </w:p>
    <w:p/>
    <w:p>
      <w:pPr>
        <w:jc w:val="center"/>
      </w:pPr>
      <w:r>
        <w:rPr>
          <w:b/>
        </w:rPr>
        <w:t>HOUSE BILL 1458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Fosse, Santos, Berry, Simmons, Alvarado, Doglio, Ormsby, Gregerson, and Pollet</w:t>
      </w:r>
    </w:p>
    <w:p/>
    <w:p>
      <w:r>
        <w:rPr>
          <w:t xml:space="preserve">Read first time 01/19/23.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individuals participating in an apprenticeship program; amending RCW 50.20.010;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2021 c 251 s 2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The individual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The individual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The individual is able to work, and is available for work in any trade, occupation, profession, or business for which the individual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The individual has been unemployed for a waiting period of one week;</w:t>
      </w:r>
    </w:p>
    <w:p>
      <w:pPr>
        <w:spacing w:before="0" w:after="0" w:line="408" w:lineRule="exact"/>
        <w:ind w:left="0" w:right="0" w:firstLine="576"/>
        <w:jc w:val="left"/>
      </w:pPr>
      <w:r>
        <w:rPr/>
        <w:t xml:space="preserve">(e) The individual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w:t>
      </w:r>
    </w:p>
    <w:p>
      <w:pPr>
        <w:spacing w:before="0" w:after="0" w:line="408" w:lineRule="exact"/>
        <w:ind w:left="0" w:right="0" w:firstLine="576"/>
        <w:jc w:val="left"/>
      </w:pPr>
      <w:r>
        <w:rPr/>
        <w:t xml:space="preserve">(5)(a) During the weeks of a public health emergency, an unemployed health care worker may also meet the requirements of subsection (1)(c) of this section if the unemployed health care worker described in RCW 50.20.050(3) and 50.29.021(1)(c)(iii) is able to perform, available to perform, and actively seeking suitable work which will commence after quarantine or which can be performed for an employer from the individual's home.</w:t>
      </w:r>
    </w:p>
    <w:p>
      <w:pPr>
        <w:spacing w:before="0" w:after="0" w:line="408" w:lineRule="exact"/>
        <w:ind w:left="0" w:right="0" w:firstLine="576"/>
        <w:jc w:val="left"/>
      </w:pPr>
      <w:r>
        <w:rPr/>
        <w:t xml:space="preserve">(b) For purposes of this subsection, "health care worker" means an individual who worked at a health care facility as defined in RCW 9A.50.010, and was directly involved in the delivery of health services.</w:t>
      </w:r>
    </w:p>
    <w:p>
      <w:pPr>
        <w:spacing w:before="0" w:after="0" w:line="408" w:lineRule="exact"/>
        <w:ind w:left="0" w:right="0" w:firstLine="576"/>
        <w:jc w:val="left"/>
      </w:pPr>
      <w:r>
        <w:rPr>
          <w:u w:val="single"/>
        </w:rPr>
        <w:t xml:space="preserve">(6) For any individual who left work to enter an apprenticeship program under RCW 50.20.050(1)(b)(xi), or who is currently enrolled in an apprenticeship program and stopped work for a participating employer to attend related or supplemental instruction required for the apprenticeship program, subsection (1)(d) of this section is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shall convene a work group for the purpose of identifying and addressing legal and procedural barriers faced by eligible claimants participating in apprenticeship programs when those claimants seek timely access to unemployment insurance benefits. The work group must include representatives of apprenticeship programs and staff of the department, as well as other appropriate stakeholders identified by the department.</w:t>
      </w:r>
    </w:p>
    <w:p>
      <w:pPr>
        <w:spacing w:before="0" w:after="0" w:line="408" w:lineRule="exact"/>
        <w:ind w:left="0" w:right="0" w:firstLine="576"/>
        <w:jc w:val="left"/>
      </w:pPr>
      <w:r>
        <w:rPr/>
        <w:t xml:space="preserve">(2) The employment security department must submit a report with findings and recommendations, including a status update on applicable administrative efforts to reduce procedural barriers identified by the work group, to the governor and appropriate committees of the legislature by December 1, 2023, in accordance with the requirements under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take effect January 1, 2024.</w:t>
      </w:r>
    </w:p>
    <w:p/>
    <w:p>
      <w:pPr>
        <w:jc w:val="center"/>
      </w:pPr>
      <w:r>
        <w:rPr>
          <w:b/>
        </w:rPr>
        <w:t>--- END ---</w:t>
      </w:r>
    </w:p>
    <w:sectPr>
      <w:pgNumType w:start="1"/>
      <w:footerReference xmlns:r="http://schemas.openxmlformats.org/officeDocument/2006/relationships" r:id="R212bc0e8fdd346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703405b5ac4e9a" /><Relationship Type="http://schemas.openxmlformats.org/officeDocument/2006/relationships/footer" Target="/word/footer1.xml" Id="R212bc0e8fdd34699" /></Relationships>
</file>