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0196ca1954994" /></Relationships>
</file>

<file path=word/document.xml><?xml version="1.0" encoding="utf-8"?>
<w:document xmlns:w="http://schemas.openxmlformats.org/wordprocessingml/2006/main">
  <w:body>
    <w:p>
      <w:r>
        <w:t>H-0516.1</w:t>
      </w:r>
    </w:p>
    <w:p>
      <w:pPr>
        <w:jc w:val="center"/>
      </w:pPr>
      <w:r>
        <w:t>_______________________________________________</w:t>
      </w:r>
    </w:p>
    <w:p/>
    <w:p>
      <w:pPr>
        <w:jc w:val="center"/>
      </w:pPr>
      <w:r>
        <w:rPr>
          <w:b/>
        </w:rPr>
        <w:t>HOUSE BILL 1497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Bateman, Ramel, Leavitt, Senn, Duerr, Doglio, Pollet, Macri, Reed, Riccelli, Stonier, and Bergquist</w:t>
      </w:r>
    </w:p>
    <w:p/>
    <w:p>
      <w:r>
        <w:rPr>
          <w:t xml:space="preserve">Read first time 01/23/23.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use of vapor, vapor products, tobacco, and tobacco products by minors by increasing penalties against those who sell to minors and removing civil liability and the ability to detain a minor for suspected possession of products; amending RCW 70.155.100, 70.155.110, and 70.345.160; reenacting and amending RCW 70.155.120; creating new sections; and repealing RCW 70.155.080 and 70.345.140.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prevention is the most effective tool to reduce vapor and tobacco usage by persons under the age of 21. The legislature finds that protection of adolescents' health and well-being requires enforcement and intervention efforts to focus upon effective vapor and tobacco control and access strategies. The legislature recognizes that retailers play a key role in ensuring that state law regarding access to vapor or tobacco is followed. The legislature recognizes vapor and tobacco purchase, possession, and use by persons under the age of 21 as a public health issue. The legislature further recognizes that, with passage of chapter 15, Laws of 2019, individuals between the ages of 18 and 21 do not face criminal or civil liability for purchase or possession of vapor or tobacco products but that individuals under the age of 18 continue to face civil liability for purchase or possession of vapor or tobacco products. The legislature therefore finds that all persons under the age of 21 who engage in vapor or tobacco purchasing, possession, or use should not be treated as violators or status offenders but should be offered community-based interventions that are more effective at addressing the use of vapor products and tobacco. The legislature further resolves to increase enforcement strategies to ensure retail compliance with tobacco and vapor possession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liquor and cannabis board may suspend or revoke a retailer's license issued under RCW 82.24.510(1)(b) or 82.26.150(1)(b) held by a business at any location, or may impose a monetary penalty as set forth in subsection (3) of this section, if the liquor and cannabis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liquor and cannabis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w:t>
      </w:r>
      <w:r>
        <w:t>((</w:t>
      </w:r>
      <w:r>
        <w:rPr>
          <w:strike/>
        </w:rPr>
        <w:t xml:space="preserve">26.28.080,</w:t>
      </w:r>
      <w:r>
        <w:t>))</w:t>
      </w:r>
      <w:r>
        <w:rPr/>
        <w:t xml:space="preserve"> 70.155.020</w:t>
      </w:r>
      <w:r>
        <w:t>((</w:t>
      </w:r>
      <w:r>
        <w:rPr>
          <w:strike/>
        </w:rPr>
        <w:t xml:space="preserve">,</w:t>
      </w:r>
      <w:r>
        <w:t>))</w:t>
      </w:r>
      <w:r>
        <w:rPr/>
        <w:t xml:space="preserve"> or 21 C.F.R. Sec. 1140.14, and for violations of RCW 70.155.040 occurring on the licensed premises:</w:t>
      </w:r>
    </w:p>
    <w:p>
      <w:pPr>
        <w:spacing w:before="0" w:after="0" w:line="408" w:lineRule="exact"/>
        <w:ind w:left="0" w:right="0" w:firstLine="576"/>
        <w:jc w:val="left"/>
      </w:pPr>
      <w:r>
        <w:rPr/>
        <w:t xml:space="preserve">(i) A monetary penalty of </w:t>
      </w:r>
      <w:r>
        <w:t>((</w:t>
      </w:r>
      <w:r>
        <w:rPr>
          <w:strike/>
        </w:rPr>
        <w:t xml:space="preserve">two hundred dollars</w:t>
      </w:r>
      <w:r>
        <w:t>))</w:t>
      </w:r>
      <w:r>
        <w:rPr/>
        <w:t xml:space="preserve"> </w:t>
      </w:r>
      <w:r>
        <w:rPr>
          <w:u w:val="single"/>
        </w:rPr>
        <w:t xml:space="preserve">$200</w:t>
      </w:r>
      <w:r>
        <w:rPr/>
        <w:t xml:space="preserve"> for the first violation within any three-year period;</w:t>
      </w:r>
    </w:p>
    <w:p>
      <w:pPr>
        <w:spacing w:before="0" w:after="0" w:line="408" w:lineRule="exact"/>
        <w:ind w:left="0" w:right="0" w:firstLine="576"/>
        <w:jc w:val="left"/>
      </w:pPr>
      <w:r>
        <w:rPr/>
        <w:t xml:space="preserve">(ii) A monetary penalty of </w:t>
      </w:r>
      <w:r>
        <w:t>((</w:t>
      </w:r>
      <w:r>
        <w:rPr>
          <w:strike/>
        </w:rPr>
        <w:t xml:space="preserve">six hundred dollars</w:t>
      </w:r>
      <w:r>
        <w:t>))</w:t>
      </w:r>
      <w:r>
        <w:rPr/>
        <w:t xml:space="preserve"> </w:t>
      </w:r>
      <w:r>
        <w:rPr>
          <w:u w:val="single"/>
        </w:rPr>
        <w:t xml:space="preserve">$600</w:t>
      </w:r>
      <w:r>
        <w:rPr/>
        <w:t xml:space="preserve"> for the second violation within any three-year period;</w:t>
      </w:r>
    </w:p>
    <w:p>
      <w:pPr>
        <w:spacing w:before="0" w:after="0" w:line="408" w:lineRule="exact"/>
        <w:ind w:left="0" w:right="0" w:firstLine="576"/>
        <w:jc w:val="left"/>
      </w:pPr>
      <w:r>
        <w:rPr/>
        <w:t xml:space="preserve">(iii) A monetary penalty of </w:t>
      </w:r>
      <w:r>
        <w:t>((</w:t>
      </w:r>
      <w:r>
        <w:rPr>
          <w:strike/>
        </w:rPr>
        <w:t xml:space="preserve">two thousand dollars</w:t>
      </w:r>
      <w:r>
        <w:t>))</w:t>
      </w:r>
      <w:r>
        <w:rPr/>
        <w:t xml:space="preserve"> </w:t>
      </w:r>
      <w:r>
        <w:rPr>
          <w:u w:val="single"/>
        </w:rPr>
        <w:t xml:space="preserve">$2,000</w:t>
      </w:r>
      <w:r>
        <w:rPr/>
        <w:t xml:space="preserve">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w:t>
      </w:r>
      <w:r>
        <w:t>((</w:t>
      </w:r>
      <w:r>
        <w:rPr>
          <w:strike/>
        </w:rPr>
        <w:t xml:space="preserve">three thousand dollars</w:t>
      </w:r>
      <w:r>
        <w:t>))</w:t>
      </w:r>
      <w:r>
        <w:rPr/>
        <w:t xml:space="preserve"> </w:t>
      </w:r>
      <w:r>
        <w:rPr>
          <w:u w:val="single"/>
        </w:rPr>
        <w:t xml:space="preserve">$3,000</w:t>
      </w:r>
      <w:r>
        <w:rPr/>
        <w:t xml:space="preserve"> and suspension of the license for a period of </w:t>
      </w:r>
      <w:r>
        <w:t>((</w:t>
      </w:r>
      <w:r>
        <w:rPr>
          <w:strike/>
        </w:rPr>
        <w:t xml:space="preserve">twelve</w:t>
      </w:r>
      <w:r>
        <w:t>))</w:t>
      </w:r>
      <w:r>
        <w:rPr/>
        <w:t xml:space="preserve"> </w:t>
      </w:r>
      <w:r>
        <w:rPr>
          <w:u w:val="single"/>
        </w:rPr>
        <w:t xml:space="preserve">12</w:t>
      </w:r>
      <w:r>
        <w:rPr/>
        <w:t xml:space="preser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w:t>
      </w:r>
      <w:r>
        <w:rPr>
          <w:u w:val="single"/>
        </w:rPr>
        <w:t xml:space="preserve">For violations of RCW 26.28.080:</w:t>
      </w:r>
    </w:p>
    <w:p>
      <w:pPr>
        <w:spacing w:before="0" w:after="0" w:line="408" w:lineRule="exact"/>
        <w:ind w:left="0" w:right="0" w:firstLine="576"/>
        <w:jc w:val="left"/>
      </w:pPr>
      <w:r>
        <w:rPr>
          <w:u w:val="single"/>
        </w:rPr>
        <w:t xml:space="preserve">(i) A monetary penalty of $1,000 for the first violation within any three-year period;</w:t>
      </w:r>
    </w:p>
    <w:p>
      <w:pPr>
        <w:spacing w:before="0" w:after="0" w:line="408" w:lineRule="exact"/>
        <w:ind w:left="0" w:right="0" w:firstLine="576"/>
        <w:jc w:val="left"/>
      </w:pPr>
      <w:r>
        <w:rPr>
          <w:u w:val="single"/>
        </w:rPr>
        <w:t xml:space="preserve">(ii) A monetary penalty of $2,500 for the second violation within any three-year period;</w:t>
      </w:r>
    </w:p>
    <w:p>
      <w:pPr>
        <w:spacing w:before="0" w:after="0" w:line="408" w:lineRule="exact"/>
        <w:ind w:left="0" w:right="0" w:firstLine="576"/>
        <w:jc w:val="left"/>
      </w:pPr>
      <w:r>
        <w:rPr>
          <w:u w:val="single"/>
        </w:rPr>
        <w:t xml:space="preserve">(iii) A monetary penalty of $5,000 and suspension of the license for a period of six months for the third violation within any three-year period;</w:t>
      </w:r>
    </w:p>
    <w:p>
      <w:pPr>
        <w:spacing w:before="0" w:after="0" w:line="408" w:lineRule="exact"/>
        <w:ind w:left="0" w:right="0" w:firstLine="576"/>
        <w:jc w:val="left"/>
      </w:pPr>
      <w:r>
        <w:rPr>
          <w:u w:val="single"/>
        </w:rPr>
        <w:t xml:space="preserve">(iv) A monetary penalty of $10,000 and suspension of the license for a period of 12 months for the fourth violation within any three-year period;</w:t>
      </w:r>
    </w:p>
    <w:p>
      <w:pPr>
        <w:spacing w:before="0" w:after="0" w:line="408" w:lineRule="exact"/>
        <w:ind w:left="0" w:right="0" w:firstLine="576"/>
        <w:jc w:val="left"/>
      </w:pPr>
      <w:r>
        <w:rPr>
          <w:u w:val="single"/>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u w:val="single"/>
        </w:rPr>
        <w:t xml:space="preserve">(c)</w:t>
      </w:r>
      <w:r>
        <w:rPr/>
        <w:t xml:space="preserve"> If the board finds that a person licensed under chapter 82.24 or 82.26 RCW and RCW 70.345.020 has violated RCW 26.28.080, each subsequent violation of either of the person's licenses counts as an additional violation within that three-year period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violations of RCW 70.155.030, a monetary penalty in the amount of </w:t>
      </w:r>
      <w:r>
        <w:t>((</w:t>
      </w:r>
      <w:r>
        <w:rPr>
          <w:strike/>
        </w:rPr>
        <w:t xml:space="preserve">one hundred dollars</w:t>
      </w:r>
      <w:r>
        <w:t>))</w:t>
      </w:r>
      <w:r>
        <w:rPr/>
        <w:t xml:space="preserve"> </w:t>
      </w:r>
      <w:r>
        <w:rPr>
          <w:u w:val="single"/>
        </w:rPr>
        <w:t xml:space="preserve">$100</w:t>
      </w:r>
      <w:r>
        <w:rPr/>
        <w:t xml:space="preserve"> for each day upon which such violation occurred;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violations of RCW 70.155.050, a monetary penalty in the amount of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violations of RCW 70.155.070, a monetary penalty in the amount of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(4) The liquor and cannabis board may impose a monetary penalty upon any person other than a licensed cigarette or tobacco product retailer if the liquor and cannabis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liquor and cannabis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one hundred dollars</w:t>
      </w:r>
      <w:r>
        <w:t>))</w:t>
      </w:r>
      <w:r>
        <w:rPr/>
        <w:t xml:space="preserve"> </w:t>
      </w:r>
      <w:r>
        <w:rPr>
          <w:u w:val="single"/>
        </w:rPr>
        <w:t xml:space="preserve">$100</w:t>
      </w:r>
      <w:r>
        <w:rPr/>
        <w:t xml:space="preserve"> for the first violation and </w:t>
      </w:r>
      <w:r>
        <w:t>((</w:t>
      </w:r>
      <w:r>
        <w:rPr>
          <w:strike/>
        </w:rPr>
        <w:t xml:space="preserve">two hundred dollars</w:t>
      </w:r>
      <w:r>
        <w:t>))</w:t>
      </w:r>
      <w:r>
        <w:rPr/>
        <w:t xml:space="preserve"> </w:t>
      </w:r>
      <w:r>
        <w:rPr>
          <w:u w:val="single"/>
        </w:rPr>
        <w:t xml:space="preserve">$200</w:t>
      </w:r>
      <w:r>
        <w:rPr/>
        <w:t xml:space="preserve"> for each subsequent violation;</w:t>
      </w:r>
    </w:p>
    <w:p>
      <w:pPr>
        <w:spacing w:before="0" w:after="0" w:line="408" w:lineRule="exact"/>
        <w:ind w:left="0" w:right="0" w:firstLine="576"/>
        <w:jc w:val="left"/>
      </w:pPr>
      <w:r>
        <w:rPr/>
        <w:t xml:space="preserve">(b) For violations of RCW 70.155.030, </w:t>
      </w:r>
      <w:r>
        <w:t>((</w:t>
      </w:r>
      <w:r>
        <w:rPr>
          <w:strike/>
        </w:rPr>
        <w:t xml:space="preserve">two hundred dollars</w:t>
      </w:r>
      <w:r>
        <w:t>))</w:t>
      </w:r>
      <w:r>
        <w:rPr/>
        <w:t xml:space="preserve"> </w:t>
      </w:r>
      <w:r>
        <w:rPr>
          <w:u w:val="single"/>
        </w:rPr>
        <w:t xml:space="preserve">$200</w:t>
      </w:r>
      <w:r>
        <w:rPr/>
        <w:t xml:space="preserve">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two hundred dollars</w:t>
      </w:r>
      <w:r>
        <w:t>))</w:t>
      </w:r>
      <w:r>
        <w:rPr/>
        <w:t xml:space="preserve"> </w:t>
      </w:r>
      <w:r>
        <w:rPr>
          <w:u w:val="single"/>
        </w:rPr>
        <w:t xml:space="preserve">$200</w:t>
      </w:r>
      <w:r>
        <w:rPr/>
        <w:t xml:space="preserve"> for each violation;</w:t>
      </w:r>
    </w:p>
    <w:p>
      <w:pPr>
        <w:spacing w:before="0" w:after="0" w:line="408" w:lineRule="exact"/>
        <w:ind w:left="0" w:right="0" w:firstLine="576"/>
        <w:jc w:val="left"/>
      </w:pPr>
      <w:r>
        <w:rPr/>
        <w:t xml:space="preserve">(d) For violations of RCW 70.155.050,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rPr/>
        <w:t xml:space="preserve">(e) For violations of RCW 70.155.070,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(6) The liquor and cannabis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liquor and cannabis board may issue a cease and desist order to any person who is found by the liquor and cannabis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liquor and cannabis board may seek injunctive relief to enforce the provisions of RCW 26.28.080, 82.24.500, 82.26.190 or this chapter. The liquor and cannabis board may initiate legal action to collect civil penalties imposed under this chapter if the same have not been paid within thirty days after imposition of such penalties. In any action filed by the liquor and cannabis board under this chapter, the court may, in addition to any other relief, award the liquor and cannabis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liquor and cannabis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and RCW 26.28.080(4) and 82.24.500, a peace officer or enforcement officer of the liquor control board who has reasonable grounds to believe a person observed by the officer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a peace officer or enforcement officer of the liquor control board.</w:t>
      </w:r>
    </w:p>
    <w:p>
      <w:pPr>
        <w:spacing w:before="0" w:after="0" w:line="408" w:lineRule="exact"/>
        <w:ind w:left="0" w:right="0" w:firstLine="576"/>
        <w:jc w:val="left"/>
      </w:pPr>
      <w:r>
        <w:rPr>
          <w:strike/>
        </w:rPr>
        <w:t xml:space="preserve">(4)</w:t>
      </w:r>
      <w:r>
        <w:t>))</w:t>
      </w:r>
      <w:r>
        <w:rPr/>
        <w:t xml:space="preserve">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w:t>
      </w:r>
      <w:r>
        <w:rPr>
          <w:u w:val="single"/>
        </w:rPr>
        <w:t xml:space="preserve">70.155.100,</w:t>
      </w:r>
      <w:r>
        <w:rPr/>
        <w:t xml:space="preserve">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w:t>
      </w:r>
      <w:r>
        <w:t>((</w:t>
      </w:r>
      <w:r>
        <w:rPr>
          <w:strike/>
        </w:rPr>
        <w:t xml:space="preserve">ten</w:t>
      </w:r>
      <w:r>
        <w:t>))</w:t>
      </w:r>
      <w:r>
        <w:rPr/>
        <w:t xml:space="preserve"> </w:t>
      </w:r>
      <w:r>
        <w:rPr>
          <w:u w:val="single"/>
        </w:rPr>
        <w:t xml:space="preserve">10</w:t>
      </w:r>
      <w:r>
        <w:rPr/>
        <w:t xml:space="preserve">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w:t>
      </w:r>
      <w:r>
        <w:t>((</w:t>
      </w:r>
      <w:r>
        <w:rPr>
          <w:strike/>
        </w:rPr>
        <w:t xml:space="preserve">thirty</w:t>
      </w:r>
      <w:r>
        <w:t>))</w:t>
      </w:r>
      <w:r>
        <w:rPr/>
        <w:t xml:space="preserve"> </w:t>
      </w:r>
      <w:r>
        <w:rPr>
          <w:u w:val="single"/>
        </w:rPr>
        <w:t xml:space="preserve">30</w:t>
      </w:r>
      <w:r>
        <w:rPr/>
        <w:t xml:space="preserve">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twenty-one</w:t>
      </w:r>
      <w:r>
        <w:t>))</w:t>
      </w:r>
      <w:r>
        <w:rPr/>
        <w:t xml:space="preserve"> </w:t>
      </w:r>
      <w:r>
        <w:rPr>
          <w:u w:val="single"/>
        </w:rPr>
        <w:t xml:space="preserve">21</w:t>
      </w:r>
      <w:r>
        <w:rPr/>
        <w:t xml:space="preserve">. The agreements shall also set forth requirements for data reporting by the </w:t>
      </w:r>
      <w:r>
        <w:t>((</w:t>
      </w:r>
      <w:r>
        <w:rPr>
          <w:strike/>
        </w:rPr>
        <w:t xml:space="preserve">liquor and cannabis</w:t>
      </w:r>
      <w:r>
        <w:t>))</w:t>
      </w:r>
      <w:r>
        <w:rPr/>
        <w:t xml:space="preserve"> board regarding its enforcement activities. During the 2019-2021 fiscal biennium, the department of health shall pay the costs incurred, up to </w:t>
      </w:r>
      <w:r>
        <w:t>((</w:t>
      </w:r>
      <w:r>
        <w:rPr>
          <w:strike/>
        </w:rPr>
        <w:t xml:space="preserve">twenty-three</w:t>
      </w:r>
      <w:r>
        <w:t>))</w:t>
      </w:r>
      <w:r>
        <w:rPr/>
        <w:t xml:space="preserve"> </w:t>
      </w:r>
      <w:r>
        <w:rPr>
          <w:u w:val="single"/>
        </w:rPr>
        <w:t xml:space="preserve">23</w:t>
      </w:r>
      <w:r>
        <w:rPr/>
        <w:t xml:space="preserve"> percent of available funds, in carrying out its enforcement responsibilities.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w:t>
      </w:r>
      <w:r>
        <w:t>((</w:t>
      </w:r>
      <w:r>
        <w:rPr>
          <w:strike/>
        </w:rPr>
        <w:t xml:space="preserve">seventy</w:t>
      </w:r>
      <w:r>
        <w:t>))</w:t>
      </w:r>
      <w:r>
        <w:rPr/>
        <w:t xml:space="preserve"> </w:t>
      </w:r>
      <w:r>
        <w:rPr>
          <w:u w:val="single"/>
        </w:rPr>
        <w:t xml:space="preserve">70</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w:t>
      </w:r>
      <w:r>
        <w:t>((</w:t>
      </w:r>
      <w:r>
        <w:rPr>
          <w:strike/>
        </w:rPr>
        <w:t xml:space="preserve">seventy-seven</w:t>
      </w:r>
      <w:r>
        <w:t>))</w:t>
      </w:r>
      <w:r>
        <w:rPr/>
        <w:t xml:space="preserve"> </w:t>
      </w:r>
      <w:r>
        <w:rPr>
          <w:u w:val="single"/>
        </w:rPr>
        <w:t xml:space="preserve">77</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strike/>
        </w:rPr>
        <w:t xml:space="preserve">(4)</w:t>
      </w:r>
      <w:r>
        <w:t>))</w:t>
      </w:r>
      <w:r>
        <w:rPr/>
        <w:t xml:space="preserve">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u w:val="single"/>
        </w:rPr>
        <w:t xml:space="preserve">(4) The board, law enforcement, or a local health department may, with parental authorization, include persons under the age of 18 in compliance and enforcement activities.</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the provisions of chapters 70.155 and 70.345 RCW and RCW 26.28.080 and 82.24.500.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70</w:t>
      </w:r>
      <w:r>
        <w:rPr/>
        <w:t xml:space="preserve">.</w:t>
      </w:r>
      <w:r>
        <w:t xml:space="preserve">155</w:t>
      </w:r>
      <w:r>
        <w:rPr/>
        <w:t xml:space="preserve">.</w:t>
      </w:r>
      <w:r>
        <w:t xml:space="preserve">080</w:t>
      </w:r>
      <w:r>
        <w:rPr/>
        <w:t xml:space="preserve"> (Purchasing,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 and 2002 c 175 s 47, 1998 c 133 s 2, &amp; 1993 c 507 s 9; and</w:t>
      </w:r>
    </w:p>
    <w:p>
      <w:pPr>
        <w:spacing w:before="0" w:after="0" w:line="408" w:lineRule="exact"/>
        <w:ind w:left="0" w:right="0" w:firstLine="576"/>
        <w:jc w:val="left"/>
      </w:pPr>
      <w:r>
        <w:t xml:space="preserve">(2) </w:t>
      </w:r>
      <w:r>
        <w:rPr/>
        <w:t xml:space="preserve">RCW </w:t>
      </w:r>
      <w:r>
        <w:t xml:space="preserve">70</w:t>
      </w:r>
      <w:r>
        <w:rPr/>
        <w:t xml:space="preserve">.</w:t>
      </w:r>
      <w:r>
        <w:t xml:space="preserve">345</w:t>
      </w:r>
      <w:r>
        <w:rPr/>
        <w:t xml:space="preserve">.</w:t>
      </w:r>
      <w:r>
        <w:t xml:space="preserve">140</w:t>
      </w:r>
      <w:r>
        <w:rPr/>
        <w:t xml:space="preserve"> (Purchase or possession by persons under eighteen</w:t>
      </w:r>
      <w:r>
        <w:rPr>
          <w:rFonts w:ascii="Times New Roman" w:hAnsi="Times New Roman"/>
        </w:rPr>
        <w:t xml:space="preserve">—</w:t>
      </w:r>
      <w:r>
        <w:rPr/>
        <w:t xml:space="preserve">Penalty</w:t>
      </w:r>
      <w:r>
        <w:rPr>
          <w:rFonts w:ascii="Times New Roman" w:hAnsi="Times New Roman"/>
        </w:rPr>
        <w:t xml:space="preserve">—</w:t>
      </w:r>
      <w:r>
        <w:rPr/>
        <w:t xml:space="preserve">Jurisdiction) and 2016 sp.s. c 38 s 14.</w:t>
      </w:r>
    </w:p>
    <w:p/>
    <w:p>
      <w:pPr>
        <w:jc w:val="center"/>
      </w:pPr>
      <w:r>
        <w:rPr>
          <w:b/>
        </w:rPr>
        <w:t>--- END ---</w:t>
      </w:r>
    </w:p>
    <w:sectPr>
      <w:pgNumType w:start="1"/>
      <w:footerReference xmlns:r="http://schemas.openxmlformats.org/officeDocument/2006/relationships" r:id="R01a60bf83a0841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c1a9a9c9a4287" /><Relationship Type="http://schemas.openxmlformats.org/officeDocument/2006/relationships/footer" Target="/word/footer1.xml" Id="R01a60bf83a08418e" /></Relationships>
</file>