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84ca20045346ab" /></Relationships>
</file>

<file path=word/document.xml><?xml version="1.0" encoding="utf-8"?>
<w:document xmlns:w="http://schemas.openxmlformats.org/wordprocessingml/2006/main">
  <w:body>
    <w:p>
      <w:r>
        <w:t>H-0048.2</w:t>
      </w:r>
    </w:p>
    <w:p>
      <w:pPr>
        <w:jc w:val="center"/>
      </w:pPr>
      <w:r>
        <w:t>_______________________________________________</w:t>
      </w:r>
    </w:p>
    <w:p/>
    <w:p>
      <w:pPr>
        <w:jc w:val="center"/>
      </w:pPr>
      <w:r>
        <w:rPr>
          <w:b/>
        </w:rPr>
        <w:t>HOUSE BILL 1520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Mosbrucker, Graham, Caldier, Jacobsen, Schmidt, Eslick, and Volz</w:t>
      </w:r>
    </w:p>
    <w:p/>
    <w:p>
      <w:r>
        <w:rPr>
          <w:t xml:space="preserve">Read first time 01/23/23.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fentanyl; amending RCW 69.50.4013 and 9.94A.518; reenacting and amending RCW 13.40.0357; creating new sections;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According to a recent study of provisional data collected by the United States centers for disease control and prevention, overdose from fentanyl is now the leading cause of death of Americans between the ages of 18 and 45. Washington is not immune from the opioid epidemic. Fentanyl has had a staggering effect on its communities, and fentanyl-related overdoses are increasing across the state. Under current law, possession of fentanyl is classified as a simple misdemeanor, which is the lowest criminal penalty available, and on July 1st of this year, the current law provision will expire and Washington will return to its former law, which has been deemed unconstitutional. This is an insufficient criminal justice system response to this extremely dangerous drug. The legislature intends to fix the constitutional defect in the law going forward and restore the felony penalties that were previously in place for possession of fentanyl in order to reflect the extreme hazards associated with this highly potent substance. Additionally, the legislature intends to launch a public outreach campaign to enhance public education on this issue and connect affected individuals with available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2022 c 16 s 86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w:t>
      </w:r>
      <w:r>
        <w:rPr>
          <w:u w:val="single"/>
        </w:rPr>
        <w:t xml:space="preserve">(a)</w:t>
      </w:r>
      <w:r>
        <w:rPr/>
        <w:t xml:space="preserve"> Except as provided in RCW 69.50.4014 </w:t>
      </w:r>
      <w:r>
        <w:rPr>
          <w:u w:val="single"/>
        </w:rPr>
        <w:t xml:space="preserve">and (b) of this subsection</w:t>
      </w:r>
      <w:r>
        <w:rPr/>
        <w:t xml:space="preserve">, any person who violates this section is guilty of a class C felony punishable under chapter 9A.20 RCW. </w:t>
      </w:r>
    </w:p>
    <w:p>
      <w:pPr>
        <w:spacing w:before="0" w:after="0" w:line="408" w:lineRule="exact"/>
        <w:ind w:left="0" w:right="0" w:firstLine="576"/>
        <w:jc w:val="left"/>
      </w:pPr>
      <w:r>
        <w:rPr>
          <w:u w:val="single"/>
        </w:rPr>
        <w:t xml:space="preserve">(b) Any person who violates this section by knowingly possessing fentanyl is guilty of a class C felony punishable according to chapter 9A.20 RCW.</w:t>
      </w:r>
    </w:p>
    <w:p>
      <w:pPr>
        <w:spacing w:before="0" w:after="0" w:line="408" w:lineRule="exact"/>
        <w:ind w:left="0" w:right="0" w:firstLine="576"/>
        <w:jc w:val="left"/>
      </w:pPr>
      <w:r>
        <w:rPr/>
        <w:t xml:space="preserve">(3)(a) The possession, by a person </w:t>
      </w:r>
      <w:r>
        <w:t>((</w:t>
      </w:r>
      <w:r>
        <w:rPr>
          <w:strike/>
        </w:rPr>
        <w:t xml:space="preserve">twenty-one</w:t>
      </w:r>
      <w:r>
        <w:t>))</w:t>
      </w:r>
      <w:r>
        <w:rPr/>
        <w:t xml:space="preserve"> </w:t>
      </w:r>
      <w:r>
        <w:rPr>
          <w:u w:val="single"/>
        </w:rPr>
        <w:t xml:space="preserve">21</w:t>
      </w:r>
      <w:r>
        <w:rPr/>
        <w:t xml:space="preserve"> years of age or older, of useable cannabis, cannabis concentrates, or cannabis-infused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cannabis, useable cannabis, cannabis concentrates, and cannabis-infused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w:t>
      </w:r>
      <w:r>
        <w:t>((</w:t>
      </w:r>
      <w:r>
        <w:rPr>
          <w:strike/>
        </w:rPr>
        <w:t xml:space="preserve">twenty-one</w:t>
      </w:r>
      <w:r>
        <w:t>))</w:t>
      </w:r>
      <w:r>
        <w:rPr/>
        <w:t xml:space="preserve"> </w:t>
      </w:r>
      <w:r>
        <w:rPr>
          <w:u w:val="single"/>
        </w:rPr>
        <w:t xml:space="preserve">21</w:t>
      </w:r>
      <w:r>
        <w:rPr/>
        <w:t xml:space="preserve"> years of age or older to one or more persons </w:t>
      </w:r>
      <w:r>
        <w:t>((</w:t>
      </w:r>
      <w:r>
        <w:rPr>
          <w:strike/>
        </w:rPr>
        <w:t xml:space="preserve">twenty-one</w:t>
      </w:r>
      <w:r>
        <w:t>))</w:t>
      </w:r>
      <w:r>
        <w:rPr/>
        <w:t xml:space="preserve"> </w:t>
      </w:r>
      <w:r>
        <w:rPr>
          <w:u w:val="single"/>
        </w:rPr>
        <w:t xml:space="preserve">21</w:t>
      </w:r>
      <w:r>
        <w:rPr/>
        <w:t xml:space="preserve"> years of age or older, during a single </w:t>
      </w:r>
      <w:r>
        <w:t>((</w:t>
      </w:r>
      <w:r>
        <w:rPr>
          <w:strike/>
        </w:rPr>
        <w:t xml:space="preserve">twenty-four</w:t>
      </w:r>
      <w:r>
        <w:t>))</w:t>
      </w:r>
      <w:r>
        <w:rPr/>
        <w:t xml:space="preserve"> </w:t>
      </w:r>
      <w:r>
        <w:rPr>
          <w:u w:val="single"/>
        </w:rPr>
        <w:t xml:space="preserve">21</w:t>
      </w:r>
      <w:r>
        <w:rPr/>
        <w:t xml:space="preserve"> hour period, for noncommercial purposes and not conditioned upon or done in connection with the provision or receipt of financial consideration, of any of the following cannabis products, is not a violation of this section, this chapter, or any other provisions of Washington state law:</w:t>
      </w:r>
    </w:p>
    <w:p>
      <w:pPr>
        <w:spacing w:before="0" w:after="0" w:line="408" w:lineRule="exact"/>
        <w:ind w:left="0" w:right="0" w:firstLine="576"/>
        <w:jc w:val="left"/>
      </w:pPr>
      <w:r>
        <w:rPr/>
        <w:t xml:space="preserve">(i) One-half ounce of useable cannabis;</w:t>
      </w:r>
    </w:p>
    <w:p>
      <w:pPr>
        <w:spacing w:before="0" w:after="0" w:line="408" w:lineRule="exact"/>
        <w:ind w:left="0" w:right="0" w:firstLine="576"/>
        <w:jc w:val="left"/>
      </w:pPr>
      <w:r>
        <w:rPr/>
        <w:t xml:space="preserve">(ii) Eight ounces of cannabis-infused product in solid form;</w:t>
      </w:r>
    </w:p>
    <w:p>
      <w:pPr>
        <w:spacing w:before="0" w:after="0" w:line="408" w:lineRule="exact"/>
        <w:ind w:left="0" w:right="0" w:firstLine="576"/>
        <w:jc w:val="left"/>
      </w:pPr>
      <w:r>
        <w:rPr/>
        <w:t xml:space="preserve">(iii) Thirty-six ounces of cannabis-infused product in liquid form; or</w:t>
      </w:r>
    </w:p>
    <w:p>
      <w:pPr>
        <w:spacing w:before="0" w:after="0" w:line="408" w:lineRule="exact"/>
        <w:ind w:left="0" w:right="0" w:firstLine="576"/>
        <w:jc w:val="left"/>
      </w:pPr>
      <w:r>
        <w:rPr/>
        <w:t xml:space="preserve">(iv) Three and one-half grams of cannabis concentrates.</w:t>
      </w:r>
    </w:p>
    <w:p>
      <w:pPr>
        <w:spacing w:before="0" w:after="0" w:line="408" w:lineRule="exact"/>
        <w:ind w:left="0" w:right="0" w:firstLine="576"/>
        <w:jc w:val="left"/>
      </w:pPr>
      <w:r>
        <w:rPr/>
        <w:t xml:space="preserve">(b) The act of delivering cannabis or a cannabis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cannabis or cannabis product must be in the original packaging as purchased from the cannabis retailer.</w:t>
      </w:r>
    </w:p>
    <w:p>
      <w:pPr>
        <w:spacing w:before="0" w:after="0" w:line="408" w:lineRule="exact"/>
        <w:ind w:left="0" w:right="0" w:firstLine="576"/>
        <w:jc w:val="left"/>
      </w:pPr>
      <w:r>
        <w:rPr/>
        <w:t xml:space="preserve">(5) No person under </w:t>
      </w:r>
      <w:r>
        <w:t>((</w:t>
      </w:r>
      <w:r>
        <w:rPr>
          <w:strike/>
        </w:rPr>
        <w:t xml:space="preserve">twenty-one</w:t>
      </w:r>
      <w:r>
        <w:t>))</w:t>
      </w:r>
      <w:r>
        <w:rPr/>
        <w:t xml:space="preserve"> </w:t>
      </w:r>
      <w:r>
        <w:rPr>
          <w:u w:val="single"/>
        </w:rPr>
        <w:t xml:space="preserve">21</w:t>
      </w:r>
      <w:r>
        <w:rPr/>
        <w:t xml:space="preserve"> years of age may possess, manufacture, sell, or distribute cannabis, cannabis-infused products, or cannabis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cannabis concentrates, useable cannabis, cannabis-infused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518</w:t>
      </w:r>
      <w:r>
        <w:rPr/>
        <w:t xml:space="preserve"> and 2022 c 16 s 5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DRUG OFFENSES</w:t>
            </w:r>
          </w:p>
          <w:p>
            <w:pPr>
              <w:spacing w:before="0" w:after="0" w:line="408" w:lineRule="exact"/>
              <w:ind w:left="0" w:right="0" w:firstLine="0"/>
              <w:jc w:val="center"/>
            </w:pPr>
            <w:r>
              <w:rPr>
                <w:rFonts w:ascii="Times New Roman" w:hAnsi="Times New Roman"/>
                <w:sz w:val="20"/>
              </w:rPr>
              <w:t xml:space="preserve">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Any felony offense under chapter 69.50 RCW with a deadly weapon special verdict under RCW 9.94A.825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Controlled Substance Homicide (RCW 69.50.415)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imitation controlled substance by person </w:t>
            </w:r>
            <w:r>
              <w:t>((</w:t>
            </w:r>
            <w:r>
              <w:rPr>
                <w:rFonts w:ascii="Times New Roman" w:hAnsi="Times New Roman"/>
                <w:strike/>
                <w:sz w:val="20"/>
              </w:rPr>
              <w:t xml:space="preserve">eighteen</w:t>
            </w:r>
            <w:r>
              <w:t>))</w:t>
            </w:r>
            <w:r>
              <w:rPr>
                <w:rFonts w:ascii="Times New Roman" w:hAnsi="Times New Roman"/>
                <w:sz w:val="20"/>
              </w:rPr>
              <w:t xml:space="preserve"> </w:t>
            </w:r>
            <w:r>
              <w:rPr>
                <w:rFonts w:ascii="Times New Roman" w:hAnsi="Times New Roman"/>
                <w:sz w:val="20"/>
                <w:u w:val="single"/>
              </w:rPr>
              <w:t xml:space="preserve">18</w:t>
            </w:r>
            <w:r>
              <w:rPr>
                <w:rFonts w:ascii="Times New Roman" w:hAnsi="Times New Roman"/>
                <w:sz w:val="20"/>
              </w:rPr>
              <w:t xml:space="preserve"> or over to person under </w:t>
            </w:r>
            <w:r>
              <w:t>((</w:t>
            </w:r>
            <w:r>
              <w:rPr>
                <w:rFonts w:ascii="Times New Roman" w:hAnsi="Times New Roman"/>
                <w:strike/>
                <w:sz w:val="20"/>
              </w:rPr>
              <w:t xml:space="preserve">eighteen</w:t>
            </w:r>
            <w:r>
              <w:t>))</w:t>
            </w:r>
            <w:r>
              <w:rPr>
                <w:rFonts w:ascii="Times New Roman" w:hAnsi="Times New Roman"/>
                <w:sz w:val="20"/>
              </w:rPr>
              <w:t xml:space="preserve"> </w:t>
            </w:r>
            <w:r>
              <w:rPr>
                <w:rFonts w:ascii="Times New Roman" w:hAnsi="Times New Roman"/>
                <w:sz w:val="20"/>
                <w:u w:val="single"/>
              </w:rPr>
              <w:t xml:space="preserve">18</w:t>
            </w:r>
            <w:r>
              <w:rPr>
                <w:rFonts w:ascii="Times New Roman" w:hAnsi="Times New Roman"/>
                <w:sz w:val="20"/>
              </w:rPr>
              <w:t xml:space="preserve"> (RCW 69.52.030(2))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Involving a minor in drug dealing (RCW 69.50.4015)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heroin, methamphetamine, a narcotic from Schedule I or II, or flunitrazepam from Schedule IV to someone under 18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narcotic from Schedule III, IV, or V or a nonnarcotic, except flunitrazepam or methamphetamine, from Schedule I-V to someone under 18 and </w:t>
            </w:r>
            <w:r>
              <w:t>((</w:t>
            </w:r>
            <w:r>
              <w:rPr>
                <w:rFonts w:ascii="Times New Roman" w:hAnsi="Times New Roman"/>
                <w:strike/>
                <w:sz w:val="20"/>
              </w:rPr>
              <w:t xml:space="preserve">3</w:t>
            </w:r>
            <w:r>
              <w:t>))</w:t>
            </w:r>
            <w:r>
              <w:rPr>
                <w:rFonts w:ascii="Times New Roman" w:hAnsi="Times New Roman"/>
                <w:sz w:val="20"/>
              </w:rPr>
              <w:t xml:space="preserve"> </w:t>
            </w:r>
            <w:r>
              <w:rPr>
                <w:rFonts w:ascii="Times New Roman" w:hAnsi="Times New Roman"/>
                <w:sz w:val="20"/>
                <w:u w:val="single"/>
              </w:rPr>
              <w:t xml:space="preserve">three</w:t>
            </w:r>
            <w:r>
              <w:rPr>
                <w:rFonts w:ascii="Times New Roman" w:hAnsi="Times New Roman"/>
                <w:sz w:val="20"/>
              </w:rPr>
              <w:t xml:space="preserve"> years junior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Ephedrine, Pseudoephedrine, or Anhydrous Ammonia with intent to manufacture methamphetamine (RCW 69.50.440)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Selling for profit (controlled or counterfeit) any controlled substance (RCW 69.50.410)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Create, deliver, or possess a counterfeit controlled substance (RCW 69.50.4011)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 or possess with intent to deliver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a material in lieu of a controlled substance (RCW 69.50.4012)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Maintaining a Dwelling or Place for Controlled Substances (RCW 69.50.402(1)(f))</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 or II or flunitrazepam from Schedule IV (RCW 69.50.401(2)(a))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III, IV, or V or nonnarcotics from Schedule I-V (except cannabis as defined in RCW 69.50.101, amphetamine, methamphetamines, or flunitrazepam) (RCW 69.50.401(2) (c) through (e))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distribute, or possess with intent to distribute an imitation controlled substance (RCW 69.52.030(1))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(RCW 69.41.020)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for a Controlled Substance (RCW 69.50.403)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cannabis as defined in RCW 69.50.101 (RCW 69.50.401(2)(c))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 Controlled Substance that is a Narcotic from Schedule III, IV, or V or Nonnarcotic from Schedule I-V (RCW 69.50.4013)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Controlled Substance that is either heroin or narcotics from Schedule I or II (RCW 69.50.4013)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Possession of Fentanyl (RCW 69.50.4013(2)(b))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Building for Drug Purposes (RCW 69.53.010)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2022 c 268 s 37 and 2022 c 16 s 9 are each reenacted and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Cannabis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Possession of Fentanyl (69.50.4013(2)(b))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(9.41.040(2)(a)(vii))</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shall develop and execute a public outreach campaign to educate the public about the dangers of consuming fentanyl and to provide information about available resources. The campaign must focus on both prevention and response, and must include multiple outreach strategies, such as brochures, public service announcements, social media postings, and other education and training efforts as the department of health deems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6a26a8f9cd1c44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c0d23a6370458a" /><Relationship Type="http://schemas.openxmlformats.org/officeDocument/2006/relationships/footer" Target="/word/footer1.xml" Id="R6a26a8f9cd1c4433" /></Relationships>
</file>